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76C" w:rsidRDefault="0065776C" w:rsidP="003B0A6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Tránsitos identitarios: </w:t>
      </w:r>
    </w:p>
    <w:p w:rsidR="003B0A62" w:rsidRPr="007670F6" w:rsidRDefault="0065776C" w:rsidP="003B0A6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Seis itinerarios corporales de personas con lesión medular</w:t>
      </w:r>
    </w:p>
    <w:p w:rsidR="003B0A62" w:rsidRPr="00D73D5C" w:rsidRDefault="003B0A62" w:rsidP="003B0A62">
      <w:pPr>
        <w:pStyle w:val="Affiliation"/>
        <w:rPr>
          <w:i w:val="0"/>
          <w:sz w:val="24"/>
          <w:lang w:val="es-ES"/>
        </w:rPr>
      </w:pPr>
      <w:r w:rsidRPr="00D73D5C">
        <w:rPr>
          <w:i w:val="0"/>
          <w:sz w:val="24"/>
          <w:lang w:val="es-ES"/>
        </w:rPr>
        <w:t>Andrea García-Santesmases Fernández</w:t>
      </w:r>
    </w:p>
    <w:p w:rsidR="003B0A62" w:rsidRDefault="003B0A62" w:rsidP="003B0A62">
      <w:pPr>
        <w:pStyle w:val="Affiliation"/>
        <w:rPr>
          <w:i w:val="0"/>
          <w:sz w:val="24"/>
          <w:lang w:val="es-ES"/>
        </w:rPr>
      </w:pPr>
      <w:r>
        <w:rPr>
          <w:i w:val="0"/>
          <w:sz w:val="24"/>
          <w:lang w:val="es-ES"/>
        </w:rPr>
        <w:t xml:space="preserve">Dpto. </w:t>
      </w:r>
      <w:r w:rsidRPr="00D73D5C">
        <w:rPr>
          <w:i w:val="0"/>
          <w:sz w:val="24"/>
          <w:lang w:val="es-ES"/>
        </w:rPr>
        <w:t>Sociología y Análisis de las Organizaciones</w:t>
      </w:r>
    </w:p>
    <w:p w:rsidR="003B0A62" w:rsidRDefault="003B0A62" w:rsidP="003B0A62">
      <w:pPr>
        <w:pStyle w:val="Affiliation"/>
        <w:rPr>
          <w:i w:val="0"/>
          <w:sz w:val="24"/>
          <w:lang w:val="es-ES"/>
        </w:rPr>
      </w:pPr>
      <w:r w:rsidRPr="00D73D5C">
        <w:rPr>
          <w:i w:val="0"/>
          <w:sz w:val="24"/>
          <w:lang w:val="es-ES"/>
        </w:rPr>
        <w:t>Universidad de Barcelona</w:t>
      </w:r>
    </w:p>
    <w:p w:rsidR="003B0A62" w:rsidRPr="00D73D5C" w:rsidRDefault="00B75872" w:rsidP="003B0A62">
      <w:pPr>
        <w:pStyle w:val="Affiliation"/>
        <w:rPr>
          <w:i w:val="0"/>
          <w:sz w:val="24"/>
          <w:lang w:val="es-ES"/>
        </w:rPr>
      </w:pPr>
      <w:hyperlink r:id="rId6" w:history="1">
        <w:r w:rsidR="003B0A62" w:rsidRPr="00D73D5C">
          <w:rPr>
            <w:rStyle w:val="Hyperlink"/>
            <w:i w:val="0"/>
            <w:sz w:val="24"/>
            <w:lang w:val="es-ES"/>
          </w:rPr>
          <w:t>andrea.gsantesmases@gmail.com</w:t>
        </w:r>
      </w:hyperlink>
    </w:p>
    <w:p w:rsidR="003B0A62" w:rsidRPr="00D73D5C" w:rsidRDefault="003B0A62" w:rsidP="003B0A62">
      <w:pPr>
        <w:pStyle w:val="Affiliation"/>
        <w:rPr>
          <w:i w:val="0"/>
          <w:sz w:val="24"/>
          <w:lang w:val="es-ES"/>
        </w:rPr>
      </w:pPr>
    </w:p>
    <w:p w:rsidR="003B0A62" w:rsidRPr="003B0A62" w:rsidRDefault="003B0A62" w:rsidP="0065776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A62" w:rsidRPr="003B0A62" w:rsidRDefault="003B0A62" w:rsidP="0065776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A62">
        <w:rPr>
          <w:rFonts w:ascii="Times New Roman" w:hAnsi="Times New Roman" w:cs="Times New Roman"/>
          <w:b/>
          <w:sz w:val="24"/>
          <w:szCs w:val="24"/>
        </w:rPr>
        <w:t xml:space="preserve">RESUMEN </w:t>
      </w:r>
    </w:p>
    <w:p w:rsidR="003B0A62" w:rsidRDefault="003304E1" w:rsidP="006962F4">
      <w:pPr>
        <w:pStyle w:val="ListParagraph"/>
        <w:widowControl w:val="0"/>
        <w:suppressAutoHyphens/>
        <w:spacing w:after="0" w:line="480" w:lineRule="auto"/>
        <w:ind w:left="0"/>
        <w:jc w:val="both"/>
        <w:rPr>
          <w:rFonts w:cs="Times New Roman"/>
          <w:szCs w:val="24"/>
          <w:lang w:val="es-ES_tradnl"/>
        </w:rPr>
      </w:pPr>
      <w:r>
        <w:rPr>
          <w:rFonts w:eastAsia="SimSun" w:cs="Times New Roman"/>
          <w:kern w:val="1"/>
          <w:szCs w:val="24"/>
          <w:lang w:eastAsia="hi-IN" w:bidi="hi-IN"/>
        </w:rPr>
        <w:t>La antropología del cuerpo y los estudios de género</w:t>
      </w:r>
      <w:r w:rsidRPr="00E06BCC">
        <w:rPr>
          <w:rFonts w:eastAsia="SimSun" w:cs="Times New Roman"/>
          <w:kern w:val="1"/>
          <w:szCs w:val="24"/>
          <w:lang w:eastAsia="hi-IN" w:bidi="hi-IN"/>
        </w:rPr>
        <w:t xml:space="preserve">, de forma aún más flagrante en el contexto español, no han dedicado suficiente atención a una variable clave para </w:t>
      </w:r>
      <w:r>
        <w:rPr>
          <w:rFonts w:eastAsia="SimSun" w:cs="Times New Roman"/>
          <w:kern w:val="1"/>
          <w:szCs w:val="24"/>
          <w:lang w:eastAsia="hi-IN" w:bidi="hi-IN"/>
        </w:rPr>
        <w:t>analizar</w:t>
      </w:r>
      <w:r w:rsidRPr="00E06BCC">
        <w:rPr>
          <w:rFonts w:eastAsia="SimSun" w:cs="Times New Roman"/>
          <w:kern w:val="1"/>
          <w:szCs w:val="24"/>
          <w:lang w:eastAsia="hi-IN" w:bidi="hi-IN"/>
        </w:rPr>
        <w:t xml:space="preserve"> la corporalidad y la configuración de la identidad de género: la </w:t>
      </w:r>
      <w:r w:rsidR="004C2362">
        <w:rPr>
          <w:rFonts w:eastAsia="SimSun" w:cs="Times New Roman"/>
          <w:kern w:val="1"/>
          <w:szCs w:val="24"/>
          <w:lang w:eastAsia="hi-IN" w:bidi="hi-IN"/>
        </w:rPr>
        <w:t>diversidad funcional</w:t>
      </w:r>
      <w:r w:rsidRPr="00E06BCC">
        <w:rPr>
          <w:rFonts w:eastAsia="SimSun" w:cs="Times New Roman"/>
          <w:kern w:val="1"/>
          <w:szCs w:val="24"/>
          <w:lang w:eastAsia="hi-IN" w:bidi="hi-IN"/>
        </w:rPr>
        <w:t xml:space="preserve">. Al mismo tiempo, los estudios </w:t>
      </w:r>
      <w:r>
        <w:rPr>
          <w:rFonts w:eastAsia="SimSun" w:cs="Times New Roman"/>
          <w:kern w:val="1"/>
          <w:szCs w:val="24"/>
          <w:lang w:eastAsia="hi-IN" w:bidi="hi-IN"/>
        </w:rPr>
        <w:t>centrados en esta área</w:t>
      </w:r>
      <w:r w:rsidRPr="00E06BCC">
        <w:rPr>
          <w:rFonts w:eastAsia="SimSun" w:cs="Times New Roman"/>
          <w:kern w:val="1"/>
          <w:szCs w:val="24"/>
          <w:lang w:eastAsia="hi-IN" w:bidi="hi-IN"/>
        </w:rPr>
        <w:t>, escasamente d</w:t>
      </w:r>
      <w:r w:rsidR="00E65BA1">
        <w:rPr>
          <w:rFonts w:eastAsia="SimSun" w:cs="Times New Roman"/>
          <w:kern w:val="1"/>
          <w:szCs w:val="24"/>
          <w:lang w:eastAsia="hi-IN" w:bidi="hi-IN"/>
        </w:rPr>
        <w:t>esarrollados en España desde la</w:t>
      </w:r>
      <w:r>
        <w:rPr>
          <w:rFonts w:eastAsia="SimSun" w:cs="Times New Roman"/>
          <w:kern w:val="1"/>
          <w:szCs w:val="24"/>
          <w:lang w:eastAsia="hi-IN" w:bidi="hi-IN"/>
        </w:rPr>
        <w:t xml:space="preserve"> antropología</w:t>
      </w:r>
      <w:r w:rsidRPr="00E06BCC">
        <w:rPr>
          <w:rFonts w:eastAsia="SimSun" w:cs="Times New Roman"/>
          <w:kern w:val="1"/>
          <w:szCs w:val="24"/>
          <w:lang w:eastAsia="hi-IN" w:bidi="hi-IN"/>
        </w:rPr>
        <w:t xml:space="preserve">, </w:t>
      </w:r>
      <w:r w:rsidR="00D84139">
        <w:rPr>
          <w:rFonts w:eastAsia="SimSun" w:cs="Times New Roman"/>
          <w:kern w:val="1"/>
          <w:szCs w:val="24"/>
          <w:lang w:eastAsia="hi-IN" w:bidi="hi-IN"/>
        </w:rPr>
        <w:t>tienden a posicionar el género</w:t>
      </w:r>
      <w:r w:rsidRPr="00E06BCC">
        <w:rPr>
          <w:rFonts w:eastAsia="SimSun" w:cs="Times New Roman"/>
          <w:kern w:val="1"/>
          <w:szCs w:val="24"/>
          <w:lang w:eastAsia="hi-IN" w:bidi="hi-IN"/>
        </w:rPr>
        <w:t xml:space="preserve"> como una categoría de análisis secundaria. </w:t>
      </w:r>
      <w:r w:rsidR="00D84139">
        <w:rPr>
          <w:rFonts w:eastAsia="SimSun" w:cs="Times New Roman"/>
          <w:kern w:val="1"/>
          <w:szCs w:val="24"/>
          <w:lang w:eastAsia="hi-IN" w:bidi="hi-IN"/>
        </w:rPr>
        <w:t xml:space="preserve">Esta comunicación busca contribuir a enmendar esta falta, analizando cómo el género y la </w:t>
      </w:r>
      <w:r w:rsidR="004C2362">
        <w:rPr>
          <w:rFonts w:eastAsia="SimSun" w:cs="Times New Roman"/>
          <w:kern w:val="1"/>
          <w:szCs w:val="24"/>
          <w:lang w:eastAsia="hi-IN" w:bidi="hi-IN"/>
        </w:rPr>
        <w:t>diversidad funcional</w:t>
      </w:r>
      <w:bookmarkStart w:id="0" w:name="_GoBack"/>
      <w:bookmarkEnd w:id="0"/>
      <w:r w:rsidR="00D84139">
        <w:rPr>
          <w:rFonts w:eastAsia="SimSun" w:cs="Times New Roman"/>
          <w:kern w:val="1"/>
          <w:szCs w:val="24"/>
          <w:lang w:eastAsia="hi-IN" w:bidi="hi-IN"/>
        </w:rPr>
        <w:t xml:space="preserve"> física se influyen mutuamente en la construcción identitaria. Para ello, se utilizan los resultados de una investigación basada en </w:t>
      </w:r>
      <w:r w:rsidR="00D84139" w:rsidRPr="00D84139">
        <w:rPr>
          <w:rFonts w:eastAsia="SimSun" w:cs="Times New Roman"/>
          <w:kern w:val="1"/>
          <w:szCs w:val="24"/>
          <w:lang w:eastAsia="hi-IN" w:bidi="hi-IN"/>
        </w:rPr>
        <w:t xml:space="preserve">seis </w:t>
      </w:r>
      <w:r w:rsidR="00D84139" w:rsidRPr="00D84139">
        <w:rPr>
          <w:rFonts w:eastAsia="SimSun" w:cs="Times New Roman"/>
          <w:i/>
          <w:kern w:val="1"/>
          <w:szCs w:val="24"/>
          <w:lang w:eastAsia="hi-IN" w:bidi="hi-IN"/>
        </w:rPr>
        <w:t>itinerarios corporales</w:t>
      </w:r>
      <w:r w:rsidR="00D84139" w:rsidRPr="00D84139">
        <w:rPr>
          <w:rFonts w:eastAsia="SimSun" w:cs="Times New Roman"/>
          <w:kern w:val="1"/>
          <w:szCs w:val="24"/>
          <w:lang w:eastAsia="hi-IN" w:bidi="hi-IN"/>
        </w:rPr>
        <w:t xml:space="preserve"> </w:t>
      </w:r>
      <w:r w:rsidR="00D84139">
        <w:rPr>
          <w:rFonts w:eastAsia="SimSun" w:cs="Times New Roman"/>
          <w:kern w:val="1"/>
          <w:szCs w:val="24"/>
          <w:lang w:eastAsia="hi-IN" w:bidi="hi-IN"/>
        </w:rPr>
        <w:t xml:space="preserve">elaborados, </w:t>
      </w:r>
      <w:r w:rsidR="00D84139" w:rsidRPr="00D84139">
        <w:rPr>
          <w:rFonts w:eastAsia="SimSun" w:cs="Times New Roman"/>
          <w:kern w:val="1"/>
          <w:szCs w:val="24"/>
          <w:lang w:eastAsia="hi-IN" w:bidi="hi-IN"/>
        </w:rPr>
        <w:t>siguiendo la propuesta metodoló</w:t>
      </w:r>
      <w:r w:rsidR="00D84139">
        <w:rPr>
          <w:rFonts w:eastAsia="SimSun" w:cs="Times New Roman"/>
          <w:kern w:val="1"/>
          <w:szCs w:val="24"/>
          <w:lang w:eastAsia="hi-IN" w:bidi="hi-IN"/>
        </w:rPr>
        <w:t xml:space="preserve">gica de Mari Luz Esteban (2004), </w:t>
      </w:r>
      <w:r w:rsidR="00D84139" w:rsidRPr="00D84139">
        <w:rPr>
          <w:rFonts w:eastAsia="SimSun" w:cs="Times New Roman"/>
          <w:kern w:val="1"/>
          <w:szCs w:val="24"/>
          <w:lang w:eastAsia="hi-IN" w:bidi="hi-IN"/>
        </w:rPr>
        <w:t xml:space="preserve">con tres hombres y </w:t>
      </w:r>
      <w:r w:rsidR="00D84139">
        <w:rPr>
          <w:rFonts w:eastAsia="SimSun" w:cs="Times New Roman"/>
          <w:kern w:val="1"/>
          <w:szCs w:val="24"/>
          <w:lang w:eastAsia="hi-IN" w:bidi="hi-IN"/>
        </w:rPr>
        <w:t>tres mujeres con lesión med</w:t>
      </w:r>
      <w:r w:rsidR="006962F4">
        <w:rPr>
          <w:rFonts w:eastAsia="SimSun" w:cs="Times New Roman"/>
          <w:kern w:val="1"/>
          <w:szCs w:val="24"/>
          <w:lang w:eastAsia="hi-IN" w:bidi="hi-IN"/>
        </w:rPr>
        <w:t xml:space="preserve">ular. Dichos itinerarios permiten </w:t>
      </w:r>
      <w:r w:rsidR="00E65BA1">
        <w:rPr>
          <w:rFonts w:eastAsia="SimSun" w:cs="Times New Roman"/>
          <w:kern w:val="1"/>
          <w:szCs w:val="24"/>
          <w:lang w:eastAsia="hi-IN" w:bidi="hi-IN"/>
        </w:rPr>
        <w:t>analizar</w:t>
      </w:r>
      <w:r w:rsidR="006962F4">
        <w:rPr>
          <w:rFonts w:eastAsia="SimSun" w:cs="Times New Roman"/>
          <w:kern w:val="1"/>
          <w:szCs w:val="24"/>
          <w:lang w:eastAsia="hi-IN" w:bidi="hi-IN"/>
        </w:rPr>
        <w:t xml:space="preserve"> </w:t>
      </w:r>
      <w:r w:rsidR="003B0A62" w:rsidRPr="003B0A62">
        <w:rPr>
          <w:rFonts w:cs="Times New Roman"/>
          <w:szCs w:val="24"/>
          <w:lang w:val="es-ES_tradnl"/>
        </w:rPr>
        <w:t xml:space="preserve">cómo </w:t>
      </w:r>
      <w:r w:rsidR="00D84139">
        <w:rPr>
          <w:rFonts w:cs="Times New Roman"/>
          <w:szCs w:val="24"/>
          <w:lang w:val="es-ES_tradnl"/>
        </w:rPr>
        <w:t>este</w:t>
      </w:r>
      <w:r w:rsidR="003B0A62" w:rsidRPr="003B0A62">
        <w:rPr>
          <w:rFonts w:cs="Times New Roman"/>
          <w:szCs w:val="24"/>
          <w:lang w:val="es-ES_tradnl"/>
        </w:rPr>
        <w:t xml:space="preserve"> cambio corporal</w:t>
      </w:r>
      <w:r>
        <w:rPr>
          <w:rFonts w:cs="Times New Roman"/>
          <w:szCs w:val="24"/>
          <w:lang w:val="es-ES_tradnl"/>
        </w:rPr>
        <w:t xml:space="preserve"> </w:t>
      </w:r>
      <w:r w:rsidR="00D84139">
        <w:rPr>
          <w:rFonts w:cs="Times New Roman"/>
          <w:szCs w:val="24"/>
          <w:lang w:val="es-ES_tradnl"/>
        </w:rPr>
        <w:t>sobrevenido influye</w:t>
      </w:r>
      <w:r>
        <w:rPr>
          <w:rFonts w:cs="Times New Roman"/>
          <w:szCs w:val="24"/>
          <w:lang w:val="es-ES_tradnl"/>
        </w:rPr>
        <w:t xml:space="preserve"> </w:t>
      </w:r>
      <w:r w:rsidR="000773D4">
        <w:rPr>
          <w:rFonts w:cs="Times New Roman"/>
          <w:szCs w:val="24"/>
          <w:lang w:val="es-ES_tradnl"/>
        </w:rPr>
        <w:t xml:space="preserve">en la </w:t>
      </w:r>
      <w:r>
        <w:rPr>
          <w:rFonts w:cs="Times New Roman"/>
          <w:szCs w:val="24"/>
          <w:lang w:val="es-ES_tradnl"/>
        </w:rPr>
        <w:t>(re)</w:t>
      </w:r>
      <w:r w:rsidR="000773D4">
        <w:rPr>
          <w:rFonts w:cs="Times New Roman"/>
          <w:szCs w:val="24"/>
          <w:lang w:val="es-ES_tradnl"/>
        </w:rPr>
        <w:t>construcción de la identidad de género del sujeto</w:t>
      </w:r>
      <w:r w:rsidR="006962F4">
        <w:rPr>
          <w:rFonts w:cs="Times New Roman"/>
          <w:szCs w:val="24"/>
          <w:lang w:val="es-ES_tradnl"/>
        </w:rPr>
        <w:t>, y qué diferencias acontecen a este respecto entre hombres y mujeres</w:t>
      </w:r>
      <w:r w:rsidR="000773D4">
        <w:rPr>
          <w:rFonts w:cs="Times New Roman"/>
          <w:szCs w:val="24"/>
          <w:lang w:val="es-ES_tradnl"/>
        </w:rPr>
        <w:t>.</w:t>
      </w:r>
      <w:r w:rsidR="003B0A62" w:rsidRPr="003B0A62">
        <w:rPr>
          <w:rFonts w:cs="Times New Roman"/>
          <w:szCs w:val="24"/>
          <w:lang w:val="es-ES_tradnl"/>
        </w:rPr>
        <w:t xml:space="preserve"> Específicamente, </w:t>
      </w:r>
      <w:r w:rsidR="000773D4">
        <w:rPr>
          <w:rFonts w:cs="Times New Roman"/>
          <w:szCs w:val="24"/>
          <w:lang w:val="es-ES_tradnl"/>
        </w:rPr>
        <w:t>se profundiza en</w:t>
      </w:r>
      <w:r w:rsidR="003B0A62" w:rsidRPr="003B0A62">
        <w:rPr>
          <w:rFonts w:cs="Times New Roman"/>
          <w:szCs w:val="24"/>
          <w:lang w:val="es-ES_tradnl"/>
        </w:rPr>
        <w:t xml:space="preserve"> tres áreas</w:t>
      </w:r>
      <w:r w:rsidR="006962F4">
        <w:rPr>
          <w:rFonts w:cs="Times New Roman"/>
          <w:szCs w:val="24"/>
          <w:lang w:val="es-ES_tradnl"/>
        </w:rPr>
        <w:t xml:space="preserve"> relativas a la identidad de género</w:t>
      </w:r>
      <w:r w:rsidR="003B0A62" w:rsidRPr="003B0A62">
        <w:rPr>
          <w:rFonts w:cs="Times New Roman"/>
          <w:szCs w:val="24"/>
          <w:lang w:val="es-ES_tradnl"/>
        </w:rPr>
        <w:t xml:space="preserve">: los imaginarios de </w:t>
      </w:r>
      <w:r w:rsidR="000773D4">
        <w:rPr>
          <w:rFonts w:cs="Times New Roman"/>
          <w:szCs w:val="24"/>
          <w:lang w:val="es-ES_tradnl"/>
        </w:rPr>
        <w:t>feminidad y masculinidad</w:t>
      </w:r>
      <w:r w:rsidR="006962F4">
        <w:rPr>
          <w:rFonts w:cs="Times New Roman"/>
          <w:szCs w:val="24"/>
          <w:lang w:val="es-ES_tradnl"/>
        </w:rPr>
        <w:t>;</w:t>
      </w:r>
      <w:r w:rsidR="003B0A62" w:rsidRPr="003B0A62">
        <w:rPr>
          <w:rFonts w:cs="Times New Roman"/>
          <w:szCs w:val="24"/>
          <w:lang w:val="es-ES_tradnl"/>
        </w:rPr>
        <w:t xml:space="preserve"> las relaciones y prácticas afectivo-sexuales</w:t>
      </w:r>
      <w:r w:rsidR="006962F4">
        <w:rPr>
          <w:rFonts w:cs="Times New Roman"/>
          <w:szCs w:val="24"/>
          <w:lang w:val="es-ES_tradnl"/>
        </w:rPr>
        <w:t>;</w:t>
      </w:r>
      <w:r w:rsidR="003B0A62" w:rsidRPr="003B0A62">
        <w:rPr>
          <w:rFonts w:cs="Times New Roman"/>
          <w:szCs w:val="24"/>
          <w:lang w:val="es-ES_tradnl"/>
        </w:rPr>
        <w:t xml:space="preserve"> y el autoconcepto corporal. </w:t>
      </w:r>
      <w:r w:rsidR="006962F4">
        <w:rPr>
          <w:rFonts w:cs="Times New Roman"/>
          <w:szCs w:val="24"/>
          <w:lang w:val="es-ES_tradnl"/>
        </w:rPr>
        <w:t xml:space="preserve">Estas narraciones dan cuenta de procesos individuales, encarnados, en los que el cambio corporal es metáfora y metonimia del tránsito identitario. Al mismo tiempo, se trata de relatos que responden a una realidad interseccional, en la que </w:t>
      </w:r>
      <w:r w:rsidR="00312590">
        <w:rPr>
          <w:rFonts w:cs="Times New Roman"/>
          <w:szCs w:val="24"/>
          <w:lang w:val="es-ES_tradnl"/>
        </w:rPr>
        <w:t xml:space="preserve">no solo el género y la condición física marcan condiciones de </w:t>
      </w:r>
      <w:r w:rsidR="00312590">
        <w:rPr>
          <w:rFonts w:cs="Times New Roman"/>
          <w:szCs w:val="24"/>
          <w:lang w:val="es-ES_tradnl"/>
        </w:rPr>
        <w:lastRenderedPageBreak/>
        <w:t xml:space="preserve">posibilidad sino que hay que tener en cuenta su posición como sujetos </w:t>
      </w:r>
      <w:r w:rsidR="00312590" w:rsidRPr="00312590">
        <w:rPr>
          <w:rFonts w:cs="Times New Roman"/>
          <w:i/>
          <w:szCs w:val="24"/>
          <w:lang w:val="es-ES_tradnl"/>
        </w:rPr>
        <w:t>situados</w:t>
      </w:r>
      <w:r w:rsidR="00312590">
        <w:rPr>
          <w:rFonts w:cs="Times New Roman"/>
          <w:szCs w:val="24"/>
          <w:lang w:val="es-ES_tradnl"/>
        </w:rPr>
        <w:t xml:space="preserve"> en la que la clase social, la orientación sexual y la edad son variables clave para entender sus narrativas.</w:t>
      </w:r>
    </w:p>
    <w:p w:rsidR="00D84139" w:rsidRPr="003B0A62" w:rsidRDefault="00D84139" w:rsidP="006962F4">
      <w:pPr>
        <w:pStyle w:val="ListParagraph"/>
        <w:widowControl w:val="0"/>
        <w:suppressAutoHyphens/>
        <w:spacing w:after="0" w:line="480" w:lineRule="auto"/>
        <w:ind w:left="0"/>
        <w:jc w:val="both"/>
        <w:rPr>
          <w:rFonts w:cs="Times New Roman"/>
          <w:szCs w:val="24"/>
          <w:lang w:val="es-ES_tradnl"/>
        </w:rPr>
      </w:pPr>
    </w:p>
    <w:p w:rsidR="00D07BFA" w:rsidRPr="003B0A62" w:rsidRDefault="00D07BFA" w:rsidP="003B0A62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sectPr w:rsidR="00D07BFA" w:rsidRPr="003B0A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872" w:rsidRDefault="00B75872" w:rsidP="003304E1">
      <w:pPr>
        <w:spacing w:after="0" w:line="240" w:lineRule="auto"/>
      </w:pPr>
      <w:r>
        <w:separator/>
      </w:r>
    </w:p>
  </w:endnote>
  <w:endnote w:type="continuationSeparator" w:id="0">
    <w:p w:rsidR="00B75872" w:rsidRDefault="00B75872" w:rsidP="00330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872" w:rsidRDefault="00B75872" w:rsidP="003304E1">
      <w:pPr>
        <w:spacing w:after="0" w:line="240" w:lineRule="auto"/>
      </w:pPr>
      <w:r>
        <w:separator/>
      </w:r>
    </w:p>
  </w:footnote>
  <w:footnote w:type="continuationSeparator" w:id="0">
    <w:p w:rsidR="00B75872" w:rsidRDefault="00B75872" w:rsidP="003304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A62"/>
    <w:rsid w:val="000773D4"/>
    <w:rsid w:val="00110792"/>
    <w:rsid w:val="00312590"/>
    <w:rsid w:val="003304E1"/>
    <w:rsid w:val="00336228"/>
    <w:rsid w:val="003B0A62"/>
    <w:rsid w:val="004C2362"/>
    <w:rsid w:val="0065776C"/>
    <w:rsid w:val="006962F4"/>
    <w:rsid w:val="007670F6"/>
    <w:rsid w:val="009B130F"/>
    <w:rsid w:val="00A50854"/>
    <w:rsid w:val="00B75872"/>
    <w:rsid w:val="00D07BFA"/>
    <w:rsid w:val="00D84139"/>
    <w:rsid w:val="00E65BA1"/>
    <w:rsid w:val="00FD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720BE-DA9C-48EF-BEDF-ED259247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B0A62"/>
    <w:rPr>
      <w:color w:val="0000FF"/>
      <w:u w:val="single"/>
    </w:rPr>
  </w:style>
  <w:style w:type="paragraph" w:customStyle="1" w:styleId="Affiliation">
    <w:name w:val="Affiliation"/>
    <w:basedOn w:val="Normal"/>
    <w:rsid w:val="003B0A62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18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304E1"/>
    <w:pPr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04E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04E1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304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rea.gsantesmases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313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6</cp:revision>
  <dcterms:created xsi:type="dcterms:W3CDTF">2016-04-06T11:06:00Z</dcterms:created>
  <dcterms:modified xsi:type="dcterms:W3CDTF">2016-09-29T11:55:00Z</dcterms:modified>
</cp:coreProperties>
</file>