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90D" w:rsidRDefault="001C490D" w:rsidP="00752CE3">
      <w:pPr>
        <w:jc w:val="both"/>
        <w:rPr>
          <w:rFonts w:cstheme="minorHAnsi"/>
          <w:b/>
        </w:rPr>
      </w:pPr>
    </w:p>
    <w:p w:rsidR="00752CE3" w:rsidRDefault="00752CE3" w:rsidP="00752CE3">
      <w:pPr>
        <w:jc w:val="both"/>
        <w:rPr>
          <w:rFonts w:cstheme="minorHAnsi"/>
          <w:b/>
        </w:rPr>
      </w:pPr>
      <w:r w:rsidRPr="00752CE3">
        <w:rPr>
          <w:rFonts w:cstheme="minorHAnsi"/>
          <w:b/>
        </w:rPr>
        <w:t>Cuando la “baja” convocatoria convive con las transformaciones de los que sí participan: retos y desafíos a la hora de analizar “resultados” de prácticas de empoderamiento a través del arte en Argentina</w:t>
      </w:r>
    </w:p>
    <w:p w:rsidR="00DC50D4" w:rsidRPr="007D00CD" w:rsidRDefault="00DC50D4" w:rsidP="00DC50D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color w:val="222222"/>
          <w:sz w:val="19"/>
          <w:szCs w:val="19"/>
          <w:lang w:eastAsia="es-AR"/>
        </w:rPr>
      </w:pPr>
      <w:r w:rsidRPr="00EB5380">
        <w:rPr>
          <w:rFonts w:ascii="Arial" w:hAnsi="Arial" w:cs="Arial"/>
          <w:i/>
          <w:color w:val="222222"/>
          <w:sz w:val="19"/>
          <w:szCs w:val="19"/>
        </w:rPr>
        <w:br/>
      </w:r>
      <w:r w:rsidRPr="00EB5380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Johana </w:t>
      </w:r>
      <w:proofErr w:type="spellStart"/>
      <w:r w:rsidRPr="00EB5380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Kunin</w:t>
      </w:r>
      <w:proofErr w:type="spellEnd"/>
      <w:r w:rsidRPr="00EB5380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, LAIOS</w:t>
      </w:r>
      <w:proofErr w:type="gramStart"/>
      <w:r w:rsidRPr="00EB5380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,EHESS</w:t>
      </w:r>
      <w:proofErr w:type="gramEnd"/>
      <w:r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, Francia</w:t>
      </w:r>
      <w:r w:rsidRPr="00EB5380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 &amp; IDAES,UNSAM/CONICET</w:t>
      </w:r>
      <w:r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, Argentina</w:t>
      </w:r>
      <w:r w:rsidRPr="00EB5380">
        <w:rPr>
          <w:rFonts w:ascii="Arial" w:hAnsi="Arial" w:cs="Arial"/>
          <w:i/>
          <w:color w:val="222222"/>
          <w:sz w:val="19"/>
          <w:szCs w:val="19"/>
        </w:rPr>
        <w:br/>
      </w:r>
      <w:r w:rsidRPr="00EB5380">
        <w:rPr>
          <w:rFonts w:ascii="Arial" w:hAnsi="Arial" w:cs="Arial"/>
          <w:i/>
          <w:color w:val="222222"/>
          <w:sz w:val="19"/>
          <w:szCs w:val="19"/>
        </w:rPr>
        <w:br/>
      </w:r>
      <w:hyperlink r:id="rId8" w:tgtFrame="_blank" w:history="1">
        <w:r w:rsidRPr="00EB5380">
          <w:rPr>
            <w:rStyle w:val="Hipervnculo"/>
            <w:rFonts w:ascii="Arial" w:hAnsi="Arial" w:cs="Arial"/>
            <w:color w:val="1155CC"/>
            <w:sz w:val="19"/>
            <w:szCs w:val="19"/>
            <w:shd w:val="clear" w:color="auto" w:fill="FFFFFF"/>
          </w:rPr>
          <w:t>johanakunin@gmail.com</w:t>
        </w:r>
      </w:hyperlink>
    </w:p>
    <w:p w:rsidR="00DC50D4" w:rsidRPr="00752CE3" w:rsidRDefault="00DC50D4" w:rsidP="00752CE3">
      <w:pPr>
        <w:jc w:val="both"/>
        <w:rPr>
          <w:rFonts w:cstheme="minorHAnsi"/>
          <w:b/>
        </w:rPr>
      </w:pPr>
    </w:p>
    <w:p w:rsidR="00752CE3" w:rsidRPr="00752CE3" w:rsidRDefault="00752CE3" w:rsidP="00752CE3">
      <w:pPr>
        <w:pStyle w:val="normal0"/>
        <w:spacing w:after="0" w:line="360" w:lineRule="auto"/>
        <w:ind w:right="49"/>
        <w:jc w:val="both"/>
        <w:rPr>
          <w:rFonts w:asciiTheme="minorHAnsi" w:hAnsiTheme="minorHAnsi" w:cstheme="minorHAnsi"/>
          <w:color w:val="auto"/>
        </w:rPr>
      </w:pPr>
      <w:r w:rsidRPr="00752CE3">
        <w:rPr>
          <w:rFonts w:asciiTheme="minorHAnsi" w:hAnsiTheme="minorHAnsi" w:cstheme="minorHAnsi"/>
          <w:color w:val="auto"/>
        </w:rPr>
        <w:t>En un barrio periférico de una ciudad de mediana escala de la pampa húmeda argentina existe un grupo de teatro donde vecinos del lugar y del “centro” recrean en obras creadas, actuadas y cantadas por ellos las historias de esta zona marginalizada y su relación con el resto de la ciudad u otras centradas en temas de género, por ejemplo. Ante la poca oferta de otras actividades en el barrio y los problemas cotidianos que se viven, se podría pensar que el nivel de participación en esta iniciativa ser</w:t>
      </w:r>
      <w:bookmarkStart w:id="0" w:name="_GoBack"/>
      <w:bookmarkEnd w:id="0"/>
      <w:r w:rsidRPr="00752CE3">
        <w:rPr>
          <w:rFonts w:asciiTheme="minorHAnsi" w:hAnsiTheme="minorHAnsi" w:cstheme="minorHAnsi"/>
          <w:color w:val="auto"/>
        </w:rPr>
        <w:t xml:space="preserve">ía más elevado. Proponemos interrogantes en tres momentos o escalas: En una primera: ¿Acaso la no participación también es un acto político? ¿Por qué no van los que no van? Y, en simultáneo: ¿No es acaso una mirada normativa la que piensa en una “baja convocatoria”? En una segunda instancia, pensamos en los posibles efectos </w:t>
      </w:r>
      <w:proofErr w:type="spellStart"/>
      <w:r w:rsidRPr="00752CE3">
        <w:rPr>
          <w:rFonts w:asciiTheme="minorHAnsi" w:hAnsiTheme="minorHAnsi" w:cstheme="minorHAnsi"/>
          <w:color w:val="auto"/>
        </w:rPr>
        <w:t>performáticos</w:t>
      </w:r>
      <w:proofErr w:type="spellEnd"/>
      <w:r w:rsidRPr="00752CE3">
        <w:rPr>
          <w:rFonts w:asciiTheme="minorHAnsi" w:hAnsiTheme="minorHAnsi" w:cstheme="minorHAnsi"/>
          <w:color w:val="auto"/>
        </w:rPr>
        <w:t xml:space="preserve">, rituales, somáticos y de la experiencia transitados por los que sí participan. Existen para los participantes distintos momentos ordenados, </w:t>
      </w:r>
      <w:proofErr w:type="spellStart"/>
      <w:r w:rsidRPr="00752CE3">
        <w:rPr>
          <w:rFonts w:asciiTheme="minorHAnsi" w:hAnsiTheme="minorHAnsi" w:cstheme="minorHAnsi"/>
          <w:color w:val="auto"/>
        </w:rPr>
        <w:t>rutinizados</w:t>
      </w:r>
      <w:proofErr w:type="spellEnd"/>
      <w:r w:rsidRPr="00752CE3">
        <w:rPr>
          <w:rFonts w:asciiTheme="minorHAnsi" w:hAnsiTheme="minorHAnsi" w:cstheme="minorHAnsi"/>
          <w:color w:val="auto"/>
        </w:rPr>
        <w:t xml:space="preserve"> y repetidos en el largo plazo: 1) de separación de los vecinos-actores de su contexto cotidiano en ciertos momentos de los ensayos; 2) de posterior </w:t>
      </w:r>
      <w:proofErr w:type="spellStart"/>
      <w:r w:rsidRPr="00752CE3">
        <w:rPr>
          <w:rFonts w:asciiTheme="minorHAnsi" w:hAnsiTheme="minorHAnsi" w:cstheme="minorHAnsi"/>
          <w:color w:val="auto"/>
        </w:rPr>
        <w:t>liminaridad</w:t>
      </w:r>
      <w:proofErr w:type="spellEnd"/>
      <w:r w:rsidRPr="00752CE3">
        <w:rPr>
          <w:rFonts w:asciiTheme="minorHAnsi" w:hAnsiTheme="minorHAnsi" w:cstheme="minorHAnsi"/>
          <w:color w:val="auto"/>
        </w:rPr>
        <w:t>, donde se experimentan sensaciones intensas (¿momento catártico? ¿purificador?; Ferreira, 2008: 24), compartidas y se infieren valores (</w:t>
      </w:r>
      <w:proofErr w:type="spellStart"/>
      <w:r w:rsidRPr="00752CE3">
        <w:rPr>
          <w:rFonts w:asciiTheme="minorHAnsi" w:hAnsiTheme="minorHAnsi" w:cstheme="minorHAnsi"/>
          <w:color w:val="auto"/>
        </w:rPr>
        <w:t>Tambiah</w:t>
      </w:r>
      <w:proofErr w:type="spellEnd"/>
      <w:r w:rsidRPr="00752CE3">
        <w:rPr>
          <w:rFonts w:asciiTheme="minorHAnsi" w:hAnsiTheme="minorHAnsi" w:cstheme="minorHAnsi"/>
          <w:color w:val="auto"/>
        </w:rPr>
        <w:t xml:space="preserve">, 1985: 128) durante los  momentos “centrales” de los ensayos y durante  las presentaciones en público; y 3) finalmente momentos de </w:t>
      </w:r>
      <w:proofErr w:type="spellStart"/>
      <w:r w:rsidRPr="00752CE3">
        <w:rPr>
          <w:rFonts w:asciiTheme="minorHAnsi" w:hAnsiTheme="minorHAnsi" w:cstheme="minorHAnsi"/>
          <w:color w:val="auto"/>
        </w:rPr>
        <w:t>reagregación</w:t>
      </w:r>
      <w:proofErr w:type="spellEnd"/>
      <w:r w:rsidRPr="00752CE3">
        <w:rPr>
          <w:rFonts w:asciiTheme="minorHAnsi" w:hAnsiTheme="minorHAnsi" w:cstheme="minorHAnsi"/>
          <w:color w:val="auto"/>
        </w:rPr>
        <w:t xml:space="preserve"> social a su comunidad y vida ordinaria pero como vecinos “cambiados”. ¿Acaso este tipo de teatro enseña cómo hacer sufrible la desigualdad (como lo analiza </w:t>
      </w:r>
      <w:proofErr w:type="spellStart"/>
      <w:r w:rsidRPr="00752CE3">
        <w:rPr>
          <w:rFonts w:asciiTheme="minorHAnsi" w:hAnsiTheme="minorHAnsi" w:cstheme="minorHAnsi"/>
          <w:color w:val="auto"/>
        </w:rPr>
        <w:t>Geertz</w:t>
      </w:r>
      <w:proofErr w:type="spellEnd"/>
      <w:r w:rsidRPr="00752CE3">
        <w:rPr>
          <w:rFonts w:asciiTheme="minorHAnsi" w:hAnsiTheme="minorHAnsi" w:cstheme="minorHAnsi"/>
          <w:color w:val="auto"/>
        </w:rPr>
        <w:t>, para su caso, 1987)? ¿Qué rol juega el cuerpo, las emociones y las experiencias y concepciones nativas de «catarsis» en la eficacia simbólica de las acciones de este grupo? ¿Se acercaría así sin buscarlo a prácticas de «sanación» alternativas (</w:t>
      </w:r>
      <w:proofErr w:type="spellStart"/>
      <w:r w:rsidRPr="00752CE3">
        <w:rPr>
          <w:rFonts w:asciiTheme="minorHAnsi" w:hAnsiTheme="minorHAnsi" w:cstheme="minorHAnsi"/>
          <w:color w:val="auto"/>
        </w:rPr>
        <w:t>Pordié</w:t>
      </w:r>
      <w:proofErr w:type="spellEnd"/>
      <w:r w:rsidRPr="00752CE3">
        <w:rPr>
          <w:rFonts w:asciiTheme="minorHAnsi" w:hAnsiTheme="minorHAnsi" w:cstheme="minorHAnsi"/>
          <w:color w:val="auto"/>
        </w:rPr>
        <w:t xml:space="preserve"> et </w:t>
      </w:r>
      <w:proofErr w:type="spellStart"/>
      <w:r w:rsidRPr="00752CE3">
        <w:rPr>
          <w:rFonts w:asciiTheme="minorHAnsi" w:hAnsiTheme="minorHAnsi" w:cstheme="minorHAnsi"/>
          <w:color w:val="auto"/>
        </w:rPr>
        <w:t>Simon</w:t>
      </w:r>
      <w:proofErr w:type="spellEnd"/>
      <w:r w:rsidRPr="00752CE3">
        <w:rPr>
          <w:rFonts w:asciiTheme="minorHAnsi" w:hAnsiTheme="minorHAnsi" w:cstheme="minorHAnsi"/>
          <w:color w:val="auto"/>
        </w:rPr>
        <w:t xml:space="preserve">, 2013)? Habría también que pensar que sucede con los procesos cognitivos de los miembros del grupo a la hora de «pensarse a sí mismos» a través del juego y la acción de actuar «de ellos mismos» teatralmente improvisando y no tras lo que sería una reflexión-corporalmente-pasiva-a-la-occidental. En un tercer plano, tenemos el reto de analizar la posibilidad de politización y cambio social que este grupo trae en su barrio y en lo más amplio de la ciudad, más allá del cambio individual y el </w:t>
      </w:r>
      <w:r w:rsidRPr="00A910C6">
        <w:rPr>
          <w:rFonts w:asciiTheme="minorHAnsi" w:hAnsiTheme="minorHAnsi" w:cstheme="minorHAnsi"/>
          <w:color w:val="auto"/>
        </w:rPr>
        <w:t xml:space="preserve">sentido de valor y autoestima </w:t>
      </w:r>
      <w:r w:rsidR="00EC3CB7">
        <w:rPr>
          <w:rFonts w:asciiTheme="minorHAnsi" w:hAnsiTheme="minorHAnsi" w:cstheme="minorHAnsi"/>
          <w:color w:val="auto"/>
        </w:rPr>
        <w:t xml:space="preserve">individual </w:t>
      </w:r>
      <w:proofErr w:type="gramStart"/>
      <w:r w:rsidRPr="00752CE3">
        <w:rPr>
          <w:rFonts w:asciiTheme="minorHAnsi" w:hAnsiTheme="minorHAnsi" w:cstheme="minorHAnsi"/>
          <w:color w:val="auto"/>
        </w:rPr>
        <w:lastRenderedPageBreak/>
        <w:t>fomentado</w:t>
      </w:r>
      <w:proofErr w:type="gramEnd"/>
      <w:r w:rsidRPr="00752CE3">
        <w:rPr>
          <w:rFonts w:asciiTheme="minorHAnsi" w:hAnsiTheme="minorHAnsi" w:cstheme="minorHAnsi"/>
          <w:color w:val="auto"/>
        </w:rPr>
        <w:t xml:space="preserve"> para los que participan directamente. “M</w:t>
      </w:r>
      <w:r w:rsidRPr="00A910C6">
        <w:rPr>
          <w:rFonts w:asciiTheme="minorHAnsi" w:hAnsiTheme="minorHAnsi" w:cstheme="minorHAnsi"/>
          <w:color w:val="auto"/>
        </w:rPr>
        <w:t>edir</w:t>
      </w:r>
      <w:r w:rsidRPr="00752CE3">
        <w:rPr>
          <w:rFonts w:asciiTheme="minorHAnsi" w:hAnsiTheme="minorHAnsi" w:cstheme="minorHAnsi"/>
          <w:color w:val="auto"/>
        </w:rPr>
        <w:t xml:space="preserve">” esto, si es que esa fuera nuestra misión, </w:t>
      </w:r>
      <w:r w:rsidRPr="00A910C6">
        <w:rPr>
          <w:rFonts w:asciiTheme="minorHAnsi" w:hAnsiTheme="minorHAnsi" w:cstheme="minorHAnsi"/>
          <w:color w:val="auto"/>
        </w:rPr>
        <w:t>es un desafío que genera nuevos interrogantes y dificultades.</w:t>
      </w:r>
      <w:r w:rsidRPr="00752CE3">
        <w:rPr>
          <w:rFonts w:asciiTheme="minorHAnsi" w:hAnsiTheme="minorHAnsi" w:cstheme="minorHAnsi"/>
          <w:color w:val="auto"/>
        </w:rPr>
        <w:t xml:space="preserve"> Queremos con estos tres momentos propuestos </w:t>
      </w:r>
      <w:r w:rsidR="00EC3CB7">
        <w:rPr>
          <w:rFonts w:asciiTheme="minorHAnsi" w:hAnsiTheme="minorHAnsi" w:cstheme="minorHAnsi"/>
          <w:color w:val="auto"/>
        </w:rPr>
        <w:t xml:space="preserve">salir </w:t>
      </w:r>
      <w:r w:rsidRPr="00752CE3">
        <w:rPr>
          <w:rFonts w:asciiTheme="minorHAnsi" w:hAnsiTheme="minorHAnsi" w:cstheme="minorHAnsi"/>
          <w:color w:val="auto"/>
        </w:rPr>
        <w:t>así de la dicotomía que sitúa al “engaño”, el “</w:t>
      </w:r>
      <w:proofErr w:type="spellStart"/>
      <w:r w:rsidRPr="00752CE3">
        <w:rPr>
          <w:rFonts w:asciiTheme="minorHAnsi" w:hAnsiTheme="minorHAnsi" w:cstheme="minorHAnsi"/>
          <w:color w:val="auto"/>
        </w:rPr>
        <w:t>disciplinamiento</w:t>
      </w:r>
      <w:proofErr w:type="spellEnd"/>
      <w:r w:rsidRPr="00752CE3">
        <w:rPr>
          <w:rFonts w:asciiTheme="minorHAnsi" w:hAnsiTheme="minorHAnsi" w:cstheme="minorHAnsi"/>
          <w:color w:val="auto"/>
        </w:rPr>
        <w:t xml:space="preserve">” y la “moralización” de unos sectores sobre otros, por un lado, y a la “pura transformación ritual siempre convocante y exitosa", por el otro. Como diría </w:t>
      </w:r>
      <w:proofErr w:type="spellStart"/>
      <w:r w:rsidRPr="00752CE3">
        <w:rPr>
          <w:rFonts w:asciiTheme="minorHAnsi" w:hAnsiTheme="minorHAnsi" w:cstheme="minorHAnsi"/>
          <w:color w:val="auto"/>
        </w:rPr>
        <w:t>Seman</w:t>
      </w:r>
      <w:proofErr w:type="spellEnd"/>
      <w:r w:rsidRPr="00752CE3">
        <w:rPr>
          <w:rFonts w:asciiTheme="minorHAnsi" w:hAnsiTheme="minorHAnsi" w:cstheme="minorHAnsi"/>
          <w:color w:val="auto"/>
        </w:rPr>
        <w:t xml:space="preserve"> (2009:200) hay que “superar la obsesiva presencia del eje resistencia-dominación en el análisis”.  </w:t>
      </w:r>
    </w:p>
    <w:p w:rsidR="00752CE3" w:rsidRPr="00752CE3" w:rsidRDefault="00752CE3" w:rsidP="00752CE3">
      <w:pPr>
        <w:rPr>
          <w:rFonts w:cstheme="minorHAnsi"/>
        </w:rPr>
      </w:pPr>
    </w:p>
    <w:p w:rsidR="00752CE3" w:rsidRPr="00752CE3" w:rsidRDefault="00752CE3" w:rsidP="00752CE3">
      <w:pPr>
        <w:pStyle w:val="normal0"/>
        <w:numPr>
          <w:ilvl w:val="0"/>
          <w:numId w:val="2"/>
        </w:numPr>
        <w:spacing w:after="0" w:line="429" w:lineRule="auto"/>
        <w:ind w:right="40"/>
        <w:jc w:val="both"/>
        <w:rPr>
          <w:rFonts w:asciiTheme="minorHAnsi" w:hAnsiTheme="minorHAnsi" w:cstheme="minorHAnsi"/>
          <w:color w:val="auto"/>
        </w:rPr>
      </w:pPr>
      <w:r w:rsidRPr="00752CE3">
        <w:rPr>
          <w:rFonts w:asciiTheme="minorHAnsi" w:hAnsiTheme="minorHAnsi" w:cstheme="minorHAnsi"/>
          <w:color w:val="auto"/>
        </w:rPr>
        <w:t xml:space="preserve">Ferreira, L. (2008) “Dimensiones </w:t>
      </w:r>
      <w:proofErr w:type="spellStart"/>
      <w:r w:rsidRPr="00752CE3">
        <w:rPr>
          <w:rFonts w:asciiTheme="minorHAnsi" w:hAnsiTheme="minorHAnsi" w:cstheme="minorHAnsi"/>
          <w:color w:val="auto"/>
        </w:rPr>
        <w:t>Afrocéntricas</w:t>
      </w:r>
      <w:proofErr w:type="spellEnd"/>
      <w:r w:rsidRPr="00752CE3">
        <w:rPr>
          <w:rFonts w:asciiTheme="minorHAnsi" w:hAnsiTheme="minorHAnsi" w:cstheme="minorHAnsi"/>
          <w:color w:val="auto"/>
        </w:rPr>
        <w:t xml:space="preserve"> en la Cultura </w:t>
      </w:r>
      <w:proofErr w:type="spellStart"/>
      <w:r w:rsidRPr="00752CE3">
        <w:rPr>
          <w:rFonts w:asciiTheme="minorHAnsi" w:hAnsiTheme="minorHAnsi" w:cstheme="minorHAnsi"/>
          <w:color w:val="auto"/>
        </w:rPr>
        <w:t>Performática</w:t>
      </w:r>
      <w:proofErr w:type="spellEnd"/>
      <w:r w:rsidRPr="00752CE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752CE3">
        <w:rPr>
          <w:rFonts w:asciiTheme="minorHAnsi" w:hAnsiTheme="minorHAnsi" w:cstheme="minorHAnsi"/>
          <w:color w:val="auto"/>
        </w:rPr>
        <w:t>Afrouruguaya</w:t>
      </w:r>
      <w:proofErr w:type="spellEnd"/>
      <w:r w:rsidRPr="00752CE3">
        <w:rPr>
          <w:rFonts w:asciiTheme="minorHAnsi" w:hAnsiTheme="minorHAnsi" w:cstheme="minorHAnsi"/>
          <w:color w:val="auto"/>
        </w:rPr>
        <w:t xml:space="preserve">” en Goldman, G., </w:t>
      </w:r>
      <w:r w:rsidRPr="00752CE3">
        <w:rPr>
          <w:rFonts w:asciiTheme="minorHAnsi" w:hAnsiTheme="minorHAnsi" w:cstheme="minorHAnsi"/>
          <w:color w:val="auto"/>
          <w:u w:val="single"/>
        </w:rPr>
        <w:t xml:space="preserve">Cultura y sociedad </w:t>
      </w:r>
      <w:proofErr w:type="spellStart"/>
      <w:r w:rsidRPr="00752CE3">
        <w:rPr>
          <w:rFonts w:asciiTheme="minorHAnsi" w:hAnsiTheme="minorHAnsi" w:cstheme="minorHAnsi"/>
          <w:color w:val="auto"/>
          <w:u w:val="single"/>
        </w:rPr>
        <w:t>afrorioplatense</w:t>
      </w:r>
      <w:proofErr w:type="spellEnd"/>
      <w:r w:rsidRPr="00752CE3">
        <w:rPr>
          <w:rFonts w:asciiTheme="minorHAnsi" w:hAnsiTheme="minorHAnsi" w:cstheme="minorHAnsi"/>
          <w:color w:val="auto"/>
        </w:rPr>
        <w:t>. Montevideo: Perro Andaluz Ediciones.</w:t>
      </w:r>
    </w:p>
    <w:p w:rsidR="00752CE3" w:rsidRPr="00752CE3" w:rsidRDefault="00752CE3" w:rsidP="00752CE3">
      <w:pPr>
        <w:pStyle w:val="normal0"/>
        <w:numPr>
          <w:ilvl w:val="0"/>
          <w:numId w:val="2"/>
        </w:numPr>
        <w:spacing w:after="0" w:line="429" w:lineRule="auto"/>
        <w:ind w:right="40"/>
        <w:jc w:val="both"/>
        <w:rPr>
          <w:rFonts w:asciiTheme="minorHAnsi" w:hAnsiTheme="minorHAnsi" w:cstheme="minorHAnsi"/>
          <w:color w:val="auto"/>
        </w:rPr>
      </w:pPr>
      <w:proofErr w:type="spellStart"/>
      <w:r w:rsidRPr="00752CE3">
        <w:rPr>
          <w:rFonts w:asciiTheme="minorHAnsi" w:hAnsiTheme="minorHAnsi" w:cstheme="minorHAnsi"/>
          <w:color w:val="auto"/>
        </w:rPr>
        <w:t>Geertz</w:t>
      </w:r>
      <w:proofErr w:type="spellEnd"/>
      <w:r w:rsidRPr="00752CE3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Pr="00752CE3">
        <w:rPr>
          <w:rFonts w:asciiTheme="minorHAnsi" w:hAnsiTheme="minorHAnsi" w:cstheme="minorHAnsi"/>
          <w:color w:val="auto"/>
        </w:rPr>
        <w:t>Clifford</w:t>
      </w:r>
      <w:proofErr w:type="spellEnd"/>
      <w:r w:rsidRPr="00752CE3">
        <w:rPr>
          <w:rFonts w:asciiTheme="minorHAnsi" w:hAnsiTheme="minorHAnsi" w:cstheme="minorHAnsi"/>
          <w:color w:val="auto"/>
        </w:rPr>
        <w:t xml:space="preserve"> (1987). </w:t>
      </w:r>
      <w:r w:rsidRPr="00752CE3">
        <w:rPr>
          <w:rFonts w:asciiTheme="minorHAnsi" w:hAnsiTheme="minorHAnsi" w:cstheme="minorHAnsi"/>
          <w:color w:val="auto"/>
          <w:u w:val="single"/>
        </w:rPr>
        <w:t>La interpretación de las culturas</w:t>
      </w:r>
      <w:r w:rsidRPr="00752CE3">
        <w:rPr>
          <w:rFonts w:asciiTheme="minorHAnsi" w:hAnsiTheme="minorHAnsi" w:cstheme="minorHAnsi"/>
          <w:color w:val="auto"/>
        </w:rPr>
        <w:t xml:space="preserve">. </w:t>
      </w:r>
      <w:proofErr w:type="spellStart"/>
      <w:r w:rsidRPr="00752CE3">
        <w:rPr>
          <w:rFonts w:asciiTheme="minorHAnsi" w:hAnsiTheme="minorHAnsi" w:cstheme="minorHAnsi"/>
          <w:color w:val="auto"/>
        </w:rPr>
        <w:t>Barcelona:Gedisa</w:t>
      </w:r>
      <w:proofErr w:type="spellEnd"/>
    </w:p>
    <w:p w:rsidR="00752CE3" w:rsidRPr="00752CE3" w:rsidRDefault="00752CE3" w:rsidP="00752CE3">
      <w:pPr>
        <w:pStyle w:val="normal0"/>
        <w:numPr>
          <w:ilvl w:val="0"/>
          <w:numId w:val="2"/>
        </w:numPr>
        <w:spacing w:after="0" w:line="360" w:lineRule="auto"/>
        <w:ind w:right="49"/>
        <w:jc w:val="both"/>
        <w:rPr>
          <w:rFonts w:asciiTheme="minorHAnsi" w:hAnsiTheme="minorHAnsi" w:cstheme="minorHAnsi"/>
          <w:color w:val="auto"/>
        </w:rPr>
      </w:pPr>
      <w:proofErr w:type="spellStart"/>
      <w:r w:rsidRPr="00752CE3">
        <w:rPr>
          <w:rFonts w:asciiTheme="minorHAnsi" w:hAnsiTheme="minorHAnsi" w:cstheme="minorHAnsi"/>
          <w:color w:val="auto"/>
        </w:rPr>
        <w:t>Pordié</w:t>
      </w:r>
      <w:proofErr w:type="spellEnd"/>
      <w:r w:rsidRPr="00752CE3">
        <w:rPr>
          <w:rFonts w:asciiTheme="minorHAnsi" w:hAnsiTheme="minorHAnsi" w:cstheme="minorHAnsi"/>
          <w:color w:val="auto"/>
        </w:rPr>
        <w:t xml:space="preserve">, L. et E. </w:t>
      </w:r>
      <w:proofErr w:type="spellStart"/>
      <w:r w:rsidRPr="00752CE3">
        <w:rPr>
          <w:rFonts w:asciiTheme="minorHAnsi" w:hAnsiTheme="minorHAnsi" w:cstheme="minorHAnsi"/>
          <w:color w:val="auto"/>
        </w:rPr>
        <w:t>Simon</w:t>
      </w:r>
      <w:proofErr w:type="spellEnd"/>
      <w:r w:rsidRPr="00752CE3">
        <w:rPr>
          <w:rFonts w:asciiTheme="minorHAnsi" w:hAnsiTheme="minorHAnsi" w:cstheme="minorHAnsi"/>
          <w:color w:val="auto"/>
        </w:rPr>
        <w:t xml:space="preserve"> (</w:t>
      </w:r>
      <w:proofErr w:type="spellStart"/>
      <w:r w:rsidRPr="00752CE3">
        <w:rPr>
          <w:rFonts w:asciiTheme="minorHAnsi" w:hAnsiTheme="minorHAnsi" w:cstheme="minorHAnsi"/>
          <w:color w:val="auto"/>
        </w:rPr>
        <w:t>dir.</w:t>
      </w:r>
      <w:proofErr w:type="spellEnd"/>
      <w:r w:rsidRPr="00752CE3">
        <w:rPr>
          <w:rFonts w:asciiTheme="minorHAnsi" w:hAnsiTheme="minorHAnsi" w:cstheme="minorHAnsi"/>
          <w:color w:val="auto"/>
        </w:rPr>
        <w:t xml:space="preserve">) (2013) </w:t>
      </w:r>
      <w:r w:rsidRPr="00752CE3">
        <w:rPr>
          <w:rFonts w:asciiTheme="minorHAnsi" w:hAnsiTheme="minorHAnsi" w:cstheme="minorHAnsi"/>
          <w:color w:val="auto"/>
          <w:u w:val="single"/>
        </w:rPr>
        <w:t xml:space="preserve">Les </w:t>
      </w:r>
      <w:proofErr w:type="spellStart"/>
      <w:r w:rsidRPr="00752CE3">
        <w:rPr>
          <w:rFonts w:asciiTheme="minorHAnsi" w:hAnsiTheme="minorHAnsi" w:cstheme="minorHAnsi"/>
          <w:color w:val="auto"/>
          <w:u w:val="single"/>
        </w:rPr>
        <w:t>nouveaux</w:t>
      </w:r>
      <w:proofErr w:type="spellEnd"/>
      <w:r w:rsidRPr="00752CE3">
        <w:rPr>
          <w:rFonts w:asciiTheme="minorHAnsi" w:hAnsiTheme="minorHAnsi" w:cstheme="minorHAnsi"/>
          <w:color w:val="auto"/>
          <w:u w:val="single"/>
        </w:rPr>
        <w:t xml:space="preserve"> </w:t>
      </w:r>
      <w:proofErr w:type="spellStart"/>
      <w:r w:rsidRPr="00752CE3">
        <w:rPr>
          <w:rFonts w:asciiTheme="minorHAnsi" w:hAnsiTheme="minorHAnsi" w:cstheme="minorHAnsi"/>
          <w:color w:val="auto"/>
          <w:u w:val="single"/>
        </w:rPr>
        <w:t>guerisseurs</w:t>
      </w:r>
      <w:proofErr w:type="spellEnd"/>
      <w:r w:rsidRPr="00752CE3">
        <w:rPr>
          <w:rFonts w:asciiTheme="minorHAnsi" w:hAnsiTheme="minorHAnsi" w:cstheme="minorHAnsi"/>
          <w:color w:val="auto"/>
          <w:u w:val="single"/>
        </w:rPr>
        <w:t xml:space="preserve">. </w:t>
      </w:r>
      <w:proofErr w:type="spellStart"/>
      <w:r w:rsidRPr="00752CE3">
        <w:rPr>
          <w:rFonts w:asciiTheme="minorHAnsi" w:hAnsiTheme="minorHAnsi" w:cstheme="minorHAnsi"/>
          <w:color w:val="auto"/>
          <w:u w:val="single"/>
        </w:rPr>
        <w:t>Biographies</w:t>
      </w:r>
      <w:proofErr w:type="spellEnd"/>
      <w:r w:rsidRPr="00752CE3">
        <w:rPr>
          <w:rFonts w:asciiTheme="minorHAnsi" w:hAnsiTheme="minorHAnsi" w:cstheme="minorHAnsi"/>
          <w:color w:val="auto"/>
          <w:u w:val="single"/>
        </w:rPr>
        <w:t xml:space="preserve"> de </w:t>
      </w:r>
      <w:proofErr w:type="spellStart"/>
      <w:r w:rsidRPr="00752CE3">
        <w:rPr>
          <w:rFonts w:asciiTheme="minorHAnsi" w:hAnsiTheme="minorHAnsi" w:cstheme="minorHAnsi"/>
          <w:color w:val="auto"/>
          <w:u w:val="single"/>
        </w:rPr>
        <w:t>thérapeutes</w:t>
      </w:r>
      <w:proofErr w:type="spellEnd"/>
      <w:r w:rsidRPr="00752CE3">
        <w:rPr>
          <w:rFonts w:asciiTheme="minorHAnsi" w:hAnsiTheme="minorHAnsi" w:cstheme="minorHAnsi"/>
          <w:color w:val="auto"/>
          <w:u w:val="single"/>
        </w:rPr>
        <w:t xml:space="preserve"> </w:t>
      </w:r>
      <w:proofErr w:type="spellStart"/>
      <w:r w:rsidRPr="00752CE3">
        <w:rPr>
          <w:rFonts w:asciiTheme="minorHAnsi" w:hAnsiTheme="minorHAnsi" w:cstheme="minorHAnsi"/>
          <w:color w:val="auto"/>
          <w:u w:val="single"/>
        </w:rPr>
        <w:t>au</w:t>
      </w:r>
      <w:proofErr w:type="spellEnd"/>
      <w:r w:rsidRPr="00752CE3">
        <w:rPr>
          <w:rFonts w:asciiTheme="minorHAnsi" w:hAnsiTheme="minorHAnsi" w:cstheme="minorHAnsi"/>
          <w:color w:val="auto"/>
          <w:u w:val="single"/>
        </w:rPr>
        <w:t xml:space="preserve"> </w:t>
      </w:r>
      <w:proofErr w:type="spellStart"/>
      <w:r w:rsidRPr="00752CE3">
        <w:rPr>
          <w:rFonts w:asciiTheme="minorHAnsi" w:hAnsiTheme="minorHAnsi" w:cstheme="minorHAnsi"/>
          <w:color w:val="auto"/>
          <w:u w:val="single"/>
        </w:rPr>
        <w:t>temps</w:t>
      </w:r>
      <w:proofErr w:type="spellEnd"/>
      <w:r w:rsidRPr="00752CE3">
        <w:rPr>
          <w:rFonts w:asciiTheme="minorHAnsi" w:hAnsiTheme="minorHAnsi" w:cstheme="minorHAnsi"/>
          <w:color w:val="auto"/>
          <w:u w:val="single"/>
        </w:rPr>
        <w:t xml:space="preserve"> de la </w:t>
      </w:r>
      <w:proofErr w:type="spellStart"/>
      <w:r w:rsidRPr="00752CE3">
        <w:rPr>
          <w:rFonts w:asciiTheme="minorHAnsi" w:hAnsiTheme="minorHAnsi" w:cstheme="minorHAnsi"/>
          <w:color w:val="auto"/>
          <w:u w:val="single"/>
        </w:rPr>
        <w:t>globalisation</w:t>
      </w:r>
      <w:proofErr w:type="spellEnd"/>
      <w:r w:rsidRPr="00752CE3">
        <w:rPr>
          <w:rFonts w:asciiTheme="minorHAnsi" w:hAnsiTheme="minorHAnsi" w:cstheme="minorHAnsi"/>
          <w:color w:val="auto"/>
        </w:rPr>
        <w:t xml:space="preserve"> Paris, </w:t>
      </w:r>
      <w:proofErr w:type="spellStart"/>
      <w:r w:rsidRPr="00752CE3">
        <w:rPr>
          <w:rFonts w:asciiTheme="minorHAnsi" w:hAnsiTheme="minorHAnsi" w:cstheme="minorHAnsi"/>
          <w:color w:val="auto"/>
        </w:rPr>
        <w:t>Éditions</w:t>
      </w:r>
      <w:proofErr w:type="spellEnd"/>
      <w:r w:rsidRPr="00752CE3">
        <w:rPr>
          <w:rFonts w:asciiTheme="minorHAnsi" w:hAnsiTheme="minorHAnsi" w:cstheme="minorHAnsi"/>
          <w:color w:val="auto"/>
        </w:rPr>
        <w:t xml:space="preserve"> de </w:t>
      </w:r>
      <w:proofErr w:type="spellStart"/>
      <w:r w:rsidRPr="00752CE3">
        <w:rPr>
          <w:rFonts w:asciiTheme="minorHAnsi" w:hAnsiTheme="minorHAnsi" w:cstheme="minorHAnsi"/>
          <w:color w:val="auto"/>
        </w:rPr>
        <w:t>l'EHESS</w:t>
      </w:r>
      <w:proofErr w:type="spellEnd"/>
      <w:r w:rsidRPr="00752CE3">
        <w:rPr>
          <w:rFonts w:asciiTheme="minorHAnsi" w:hAnsiTheme="minorHAnsi" w:cstheme="minorHAnsi"/>
          <w:color w:val="auto"/>
        </w:rPr>
        <w:t xml:space="preserve"> </w:t>
      </w:r>
    </w:p>
    <w:p w:rsidR="00752CE3" w:rsidRPr="00752CE3" w:rsidRDefault="00752CE3" w:rsidP="00752CE3">
      <w:pPr>
        <w:pStyle w:val="normal0"/>
        <w:numPr>
          <w:ilvl w:val="0"/>
          <w:numId w:val="2"/>
        </w:numPr>
        <w:spacing w:after="0" w:line="429" w:lineRule="auto"/>
        <w:ind w:right="40"/>
        <w:jc w:val="both"/>
        <w:rPr>
          <w:rFonts w:asciiTheme="minorHAnsi" w:hAnsiTheme="minorHAnsi" w:cstheme="minorHAnsi"/>
          <w:color w:val="auto"/>
        </w:rPr>
      </w:pPr>
      <w:proofErr w:type="spellStart"/>
      <w:r w:rsidRPr="00752CE3">
        <w:rPr>
          <w:rFonts w:asciiTheme="minorHAnsi" w:hAnsiTheme="minorHAnsi" w:cstheme="minorHAnsi"/>
          <w:color w:val="auto"/>
        </w:rPr>
        <w:t>Semán</w:t>
      </w:r>
      <w:proofErr w:type="spellEnd"/>
      <w:r w:rsidRPr="00752CE3">
        <w:rPr>
          <w:rFonts w:asciiTheme="minorHAnsi" w:hAnsiTheme="minorHAnsi" w:cstheme="minorHAnsi"/>
          <w:color w:val="auto"/>
        </w:rPr>
        <w:t xml:space="preserve">, Pablo (2009)  “Culturas populares: lo imprescindible de la </w:t>
      </w:r>
      <w:proofErr w:type="spellStart"/>
      <w:r w:rsidRPr="00752CE3">
        <w:rPr>
          <w:rFonts w:asciiTheme="minorHAnsi" w:hAnsiTheme="minorHAnsi" w:cstheme="minorHAnsi"/>
          <w:color w:val="auto"/>
        </w:rPr>
        <w:t>desfamiliarización</w:t>
      </w:r>
      <w:proofErr w:type="spellEnd"/>
      <w:r w:rsidRPr="00752CE3">
        <w:rPr>
          <w:rFonts w:asciiTheme="minorHAnsi" w:hAnsiTheme="minorHAnsi" w:cstheme="minorHAnsi"/>
          <w:color w:val="auto"/>
        </w:rPr>
        <w:t>”, en Maguaré, Nro. 23, Bogotá.</w:t>
      </w:r>
    </w:p>
    <w:p w:rsidR="00752CE3" w:rsidRPr="00752CE3" w:rsidRDefault="00752CE3" w:rsidP="00752CE3">
      <w:pPr>
        <w:pStyle w:val="normal0"/>
        <w:numPr>
          <w:ilvl w:val="0"/>
          <w:numId w:val="2"/>
        </w:numPr>
        <w:spacing w:after="0" w:line="360" w:lineRule="auto"/>
        <w:ind w:right="49"/>
        <w:jc w:val="both"/>
        <w:rPr>
          <w:rFonts w:asciiTheme="minorHAnsi" w:hAnsiTheme="minorHAnsi" w:cstheme="minorHAnsi"/>
          <w:color w:val="auto"/>
          <w:lang w:val="en-US"/>
        </w:rPr>
      </w:pPr>
      <w:proofErr w:type="spellStart"/>
      <w:r w:rsidRPr="00752CE3">
        <w:rPr>
          <w:rFonts w:asciiTheme="minorHAnsi" w:hAnsiTheme="minorHAnsi" w:cstheme="minorHAnsi"/>
          <w:color w:val="auto"/>
          <w:lang w:val="en-US"/>
        </w:rPr>
        <w:t>Tambiah</w:t>
      </w:r>
      <w:proofErr w:type="spellEnd"/>
      <w:r w:rsidRPr="00752CE3">
        <w:rPr>
          <w:rFonts w:asciiTheme="minorHAnsi" w:hAnsiTheme="minorHAnsi" w:cstheme="minorHAnsi"/>
          <w:color w:val="auto"/>
          <w:lang w:val="en-US"/>
        </w:rPr>
        <w:t xml:space="preserve"> S.J (1985). </w:t>
      </w:r>
      <w:r w:rsidRPr="00752CE3">
        <w:rPr>
          <w:rFonts w:asciiTheme="minorHAnsi" w:hAnsiTheme="minorHAnsi" w:cstheme="minorHAnsi"/>
          <w:color w:val="auto"/>
          <w:u w:val="single"/>
          <w:lang w:val="en-US"/>
        </w:rPr>
        <w:t xml:space="preserve">Culture, Thought, and Social Action. An Anthropological Perspective. </w:t>
      </w:r>
      <w:r w:rsidRPr="00752CE3">
        <w:rPr>
          <w:rFonts w:asciiTheme="minorHAnsi" w:hAnsiTheme="minorHAnsi" w:cstheme="minorHAnsi"/>
          <w:color w:val="auto"/>
          <w:lang w:val="en-US"/>
        </w:rPr>
        <w:t>Cambridge: Harvard University Press.</w:t>
      </w:r>
    </w:p>
    <w:p w:rsidR="00752CE3" w:rsidRPr="00752CE3" w:rsidRDefault="00752CE3" w:rsidP="00752CE3">
      <w:pPr>
        <w:rPr>
          <w:lang w:val="en-US"/>
        </w:rPr>
      </w:pPr>
    </w:p>
    <w:p w:rsidR="00752CE3" w:rsidRPr="00752CE3" w:rsidRDefault="00752CE3" w:rsidP="00A910C6">
      <w:pPr>
        <w:pBdr>
          <w:bottom w:val="single" w:sz="6" w:space="4" w:color="F2F2F2"/>
        </w:pBdr>
        <w:spacing w:after="150" w:line="312" w:lineRule="atLeast"/>
        <w:outlineLvl w:val="0"/>
        <w:rPr>
          <w:rFonts w:ascii="Open Sans" w:eastAsia="Times New Roman" w:hAnsi="Open Sans" w:cs="Times New Roman"/>
          <w:b/>
          <w:bCs/>
          <w:caps/>
          <w:color w:val="2F2B23"/>
          <w:kern w:val="36"/>
          <w:sz w:val="51"/>
          <w:szCs w:val="51"/>
          <w:lang w:val="en-US" w:eastAsia="es-AR"/>
        </w:rPr>
      </w:pPr>
    </w:p>
    <w:p w:rsidR="00A910C6" w:rsidRPr="00A910C6" w:rsidRDefault="00A910C6" w:rsidP="00A910C6">
      <w:pPr>
        <w:pBdr>
          <w:bottom w:val="single" w:sz="6" w:space="4" w:color="F2F2F2"/>
        </w:pBdr>
        <w:spacing w:after="150" w:line="312" w:lineRule="atLeast"/>
        <w:outlineLvl w:val="0"/>
        <w:rPr>
          <w:rFonts w:ascii="Open Sans" w:eastAsia="Times New Roman" w:hAnsi="Open Sans" w:cs="Times New Roman"/>
          <w:b/>
          <w:bCs/>
          <w:caps/>
          <w:color w:val="2F2B23"/>
          <w:kern w:val="36"/>
          <w:sz w:val="51"/>
          <w:szCs w:val="51"/>
          <w:lang w:eastAsia="es-AR"/>
        </w:rPr>
      </w:pPr>
      <w:r w:rsidRPr="00A910C6">
        <w:rPr>
          <w:rFonts w:ascii="Open Sans" w:eastAsia="Times New Roman" w:hAnsi="Open Sans" w:cs="Times New Roman"/>
          <w:b/>
          <w:bCs/>
          <w:caps/>
          <w:color w:val="2F2B23"/>
          <w:kern w:val="36"/>
          <w:sz w:val="51"/>
          <w:szCs w:val="51"/>
          <w:lang w:eastAsia="es-AR"/>
        </w:rPr>
        <w:t>APROXIMACIÓN CRÍTICA A LA PARTICIPACIÓN Y EL EMPODERAMIENTO. ESTUDIOS SOBRE MINORÍAS SOCIOCULTURALES Y GRUPOS SOCIALES MARGINALIZADOS</w:t>
      </w:r>
    </w:p>
    <w:p w:rsidR="00A910C6" w:rsidRPr="00A910C6" w:rsidRDefault="00A910C6" w:rsidP="00A910C6">
      <w:pPr>
        <w:spacing w:before="300" w:after="0" w:line="360" w:lineRule="atLeast"/>
        <w:jc w:val="both"/>
        <w:outlineLvl w:val="3"/>
        <w:rPr>
          <w:rFonts w:ascii="Open Sans" w:eastAsia="Times New Roman" w:hAnsi="Open Sans" w:cs="Times New Roman"/>
          <w:color w:val="94886E"/>
          <w:sz w:val="30"/>
          <w:szCs w:val="30"/>
          <w:lang w:eastAsia="es-AR"/>
        </w:rPr>
      </w:pPr>
      <w:r w:rsidRPr="00A910C6">
        <w:rPr>
          <w:rFonts w:ascii="Open Sans" w:eastAsia="Times New Roman" w:hAnsi="Open Sans" w:cs="Times New Roman"/>
          <w:color w:val="94886E"/>
          <w:sz w:val="30"/>
          <w:szCs w:val="30"/>
          <w:lang w:eastAsia="es-AR"/>
        </w:rPr>
        <w:t>Coordinación</w:t>
      </w:r>
    </w:p>
    <w:p w:rsidR="00A910C6" w:rsidRPr="00A910C6" w:rsidRDefault="00A910C6" w:rsidP="00A910C6">
      <w:pPr>
        <w:spacing w:after="240" w:line="408" w:lineRule="atLeast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</w:pP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lastRenderedPageBreak/>
        <w:t>Bálint-Ábel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Bereményi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 (ICA) y David Lagunas (ASANA)</w:t>
      </w:r>
    </w:p>
    <w:p w:rsidR="00A910C6" w:rsidRPr="00A910C6" w:rsidRDefault="00A910C6" w:rsidP="00A910C6">
      <w:pPr>
        <w:spacing w:before="300" w:after="0" w:line="360" w:lineRule="atLeast"/>
        <w:jc w:val="both"/>
        <w:outlineLvl w:val="3"/>
        <w:rPr>
          <w:rFonts w:ascii="Open Sans" w:eastAsia="Times New Roman" w:hAnsi="Open Sans" w:cs="Times New Roman"/>
          <w:color w:val="94886E"/>
          <w:sz w:val="30"/>
          <w:szCs w:val="30"/>
          <w:lang w:eastAsia="es-AR"/>
        </w:rPr>
      </w:pPr>
      <w:r w:rsidRPr="00A910C6">
        <w:rPr>
          <w:rFonts w:ascii="Open Sans" w:eastAsia="Times New Roman" w:hAnsi="Open Sans" w:cs="Times New Roman"/>
          <w:color w:val="94886E"/>
          <w:sz w:val="30"/>
          <w:szCs w:val="30"/>
          <w:lang w:eastAsia="es-AR"/>
        </w:rPr>
        <w:t>Contacto</w:t>
      </w:r>
    </w:p>
    <w:p w:rsidR="00A910C6" w:rsidRPr="00A910C6" w:rsidRDefault="00A910C6" w:rsidP="00A910C6">
      <w:pPr>
        <w:spacing w:after="0" w:line="408" w:lineRule="atLeast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</w:pP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bdr w:val="none" w:sz="0" w:space="0" w:color="auto" w:frame="1"/>
          <w:lang w:eastAsia="es-AR"/>
        </w:rPr>
        <w:t>Abel.Beremenyi@uab.cat, dlagunas@us.es</w:t>
      </w:r>
    </w:p>
    <w:p w:rsidR="00A910C6" w:rsidRPr="00A910C6" w:rsidRDefault="00A910C6" w:rsidP="00A910C6">
      <w:pPr>
        <w:spacing w:before="300" w:after="0" w:line="360" w:lineRule="atLeast"/>
        <w:jc w:val="both"/>
        <w:outlineLvl w:val="3"/>
        <w:rPr>
          <w:rFonts w:ascii="Open Sans" w:eastAsia="Times New Roman" w:hAnsi="Open Sans" w:cs="Times New Roman"/>
          <w:color w:val="94886E"/>
          <w:sz w:val="30"/>
          <w:szCs w:val="30"/>
          <w:lang w:eastAsia="es-AR"/>
        </w:rPr>
      </w:pPr>
      <w:r w:rsidRPr="00A910C6">
        <w:rPr>
          <w:rFonts w:ascii="Open Sans" w:eastAsia="Times New Roman" w:hAnsi="Open Sans" w:cs="Times New Roman"/>
          <w:color w:val="94886E"/>
          <w:sz w:val="30"/>
          <w:szCs w:val="30"/>
          <w:lang w:eastAsia="es-AR"/>
        </w:rPr>
        <w:t>Líneas de trabajo</w:t>
      </w:r>
    </w:p>
    <w:p w:rsidR="00A910C6" w:rsidRPr="00A910C6" w:rsidRDefault="00A910C6" w:rsidP="00A910C6">
      <w:pPr>
        <w:numPr>
          <w:ilvl w:val="0"/>
          <w:numId w:val="1"/>
        </w:numPr>
        <w:spacing w:after="0" w:line="408" w:lineRule="atLeast"/>
        <w:ind w:left="360" w:firstLine="0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</w:pP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Discursos y prácticas del empoderamiento y la participación de grupos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percebidos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 como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desempoderados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 o “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subaelternos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”: retóricas, ambigüedades, “buenas prácticas” y hegemonías ocultas.</w:t>
      </w:r>
    </w:p>
    <w:p w:rsidR="00A910C6" w:rsidRPr="00A910C6" w:rsidRDefault="00A910C6" w:rsidP="00A910C6">
      <w:pPr>
        <w:numPr>
          <w:ilvl w:val="0"/>
          <w:numId w:val="1"/>
        </w:numPr>
        <w:spacing w:after="0" w:line="408" w:lineRule="atLeast"/>
        <w:ind w:left="360" w:firstLine="0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</w:pP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Contextos sociales, económicos y políticos para la producción de efectos transformadores y emancipadores a través de la participación y el empoderamiento de grupos subalternos.</w:t>
      </w:r>
    </w:p>
    <w:p w:rsidR="00A910C6" w:rsidRPr="00A910C6" w:rsidRDefault="00A910C6" w:rsidP="00A910C6">
      <w:pPr>
        <w:numPr>
          <w:ilvl w:val="0"/>
          <w:numId w:val="1"/>
        </w:numPr>
        <w:spacing w:after="0" w:line="408" w:lineRule="atLeast"/>
        <w:ind w:left="360" w:firstLine="0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</w:pP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Capacidades y recursos de empoderamiento de los agentes y actores frente al contexto sociopolítico y la desburocratización.</w:t>
      </w:r>
    </w:p>
    <w:p w:rsidR="00A910C6" w:rsidRPr="00A910C6" w:rsidRDefault="00A910C6" w:rsidP="00A910C6">
      <w:pPr>
        <w:numPr>
          <w:ilvl w:val="0"/>
          <w:numId w:val="1"/>
        </w:numPr>
        <w:spacing w:after="0" w:line="408" w:lineRule="atLeast"/>
        <w:ind w:left="360" w:firstLine="0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</w:pP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Producción de sujetos empoderados/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desempoderados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 en las formas y estructuras de participación: voces, performances, mediación (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brokers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, ONG’S, etc.), técnicas de participación y prácticas inclusivas.</w:t>
      </w:r>
    </w:p>
    <w:p w:rsidR="00A910C6" w:rsidRPr="00A910C6" w:rsidRDefault="00A910C6" w:rsidP="00A910C6">
      <w:pPr>
        <w:numPr>
          <w:ilvl w:val="0"/>
          <w:numId w:val="1"/>
        </w:numPr>
        <w:spacing w:after="0" w:line="408" w:lineRule="atLeast"/>
        <w:ind w:left="360" w:firstLine="0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</w:pP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Ética y metodología para la participación democrática de los actores, la implementación de políticas públicas de inclusión y el logro de la justicia social.</w:t>
      </w:r>
    </w:p>
    <w:p w:rsidR="00A910C6" w:rsidRPr="00A910C6" w:rsidRDefault="00A910C6" w:rsidP="00A910C6">
      <w:pPr>
        <w:spacing w:before="300" w:after="0" w:line="360" w:lineRule="atLeast"/>
        <w:jc w:val="both"/>
        <w:outlineLvl w:val="3"/>
        <w:rPr>
          <w:rFonts w:ascii="Open Sans" w:eastAsia="Times New Roman" w:hAnsi="Open Sans" w:cs="Times New Roman"/>
          <w:color w:val="94886E"/>
          <w:sz w:val="30"/>
          <w:szCs w:val="30"/>
          <w:lang w:eastAsia="es-AR"/>
        </w:rPr>
      </w:pPr>
      <w:r w:rsidRPr="00A910C6">
        <w:rPr>
          <w:rFonts w:ascii="Open Sans" w:eastAsia="Times New Roman" w:hAnsi="Open Sans" w:cs="Times New Roman"/>
          <w:color w:val="94886E"/>
          <w:sz w:val="30"/>
          <w:szCs w:val="30"/>
          <w:lang w:eastAsia="es-AR"/>
        </w:rPr>
        <w:t>Objeto del simposio</w:t>
      </w:r>
    </w:p>
    <w:p w:rsidR="00A910C6" w:rsidRPr="00A910C6" w:rsidRDefault="00A910C6" w:rsidP="00A910C6">
      <w:pPr>
        <w:spacing w:after="240" w:line="408" w:lineRule="atLeast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</w:pP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La noción de participación ha entrado con gran fuerza a las políticas, programas y planes dirigidos a las minorías socioculturales y sectores sociales marginalizados que acumulan exclusión social y/o rechazo cultural. Desde las políticas de la Unión Europea para el combate a la pobreza y el estigma social y cultural, las intervenciones locales sobre los diversos actores y la participación de los mismos en los procesos de inserción/integración social se han convertido en un criterio básico y la cuestión clave inevitable en las propuestas de proyectos. El argumento principal detrás de la participación es el empoderamiento de estos colectivos marginalizados: participación y empoderamiento se refuerzan entre sí. Sin embargo, ambos conceptos tienden a ser vagamente definidos y mal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operacionalizados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, su correlación positiva se da por sentado, así como su impacto positivo en el desarrollo individual o comunitario.</w:t>
      </w:r>
    </w:p>
    <w:p w:rsidR="00A910C6" w:rsidRPr="00A910C6" w:rsidRDefault="00A910C6" w:rsidP="00A910C6">
      <w:pPr>
        <w:spacing w:before="300" w:after="0" w:line="360" w:lineRule="atLeast"/>
        <w:jc w:val="both"/>
        <w:outlineLvl w:val="3"/>
        <w:rPr>
          <w:rFonts w:ascii="Open Sans" w:eastAsia="Times New Roman" w:hAnsi="Open Sans" w:cs="Times New Roman"/>
          <w:color w:val="94886E"/>
          <w:sz w:val="30"/>
          <w:szCs w:val="30"/>
          <w:lang w:eastAsia="es-AR"/>
        </w:rPr>
      </w:pPr>
      <w:r w:rsidRPr="00A910C6">
        <w:rPr>
          <w:rFonts w:ascii="Open Sans" w:eastAsia="Times New Roman" w:hAnsi="Open Sans" w:cs="Times New Roman"/>
          <w:color w:val="94886E"/>
          <w:sz w:val="30"/>
          <w:szCs w:val="30"/>
          <w:lang w:eastAsia="es-AR"/>
        </w:rPr>
        <w:t>Estado de la cuestión</w:t>
      </w:r>
    </w:p>
    <w:p w:rsidR="00A910C6" w:rsidRPr="00A910C6" w:rsidRDefault="00A910C6" w:rsidP="00A910C6">
      <w:pPr>
        <w:spacing w:after="240" w:line="408" w:lineRule="atLeast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</w:pP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lastRenderedPageBreak/>
        <w:t>En las dos últimas décadas se ha desarrollado un debate agudo en torno a los conceptos de empoderamiento y participación, y la ambigüedad como se definen, así como los resultados obtenidos (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Cooke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 y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Kothari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, 2001;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Frideres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, 1992;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Hickey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 y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Mohan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, 2004). Para algunos autores, el empoderamiento es un proceso mediante el cual las personas adquieren una comprensión crítica de su entorno (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Perkins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 y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Zimmermann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, 1995).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Fetterman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 (1994) afirma que una posible forma de alcanzar este punto de vista crítico es incluir las poblaciones subalternas en la evaluación de su supuesta habilitación: “la autodeterminación, que se define como la capacidad de trazar el propio curso de la vida, constituye la base teórica de la evaluación para el empoderamiento.” Esto para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Fetterman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 incluye la capacidad para identificar y expresar sus necesidades, establecer metas o expectativas y un plan de acción para lograrlos, identificar recursos y  tomar decisiones racionales de varios cursos alternativos de acción.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Alsop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 y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Heinsohn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 (2005) definen el empoderamiento como “la mejora de la capacidad de un individuo o grupo a tomar decisiones y transformar esas opciones en acciones y resultados deseados”.  Esta capacidad de hacer una elección efectiva se ve influenciada principalmente por dos conjuntos de factores: agencia y estructura de oportunidades.</w:t>
      </w:r>
    </w:p>
    <w:p w:rsidR="00A910C6" w:rsidRPr="00A910C6" w:rsidRDefault="00A910C6" w:rsidP="00A910C6">
      <w:pPr>
        <w:spacing w:after="240" w:line="408" w:lineRule="atLeast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</w:pP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Sin embargo, y  siguiendo a  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Miraftab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 (2004),  el principal problema aquí es que la participación y el empoderamiento son tratados a menudo como</w:t>
      </w:r>
      <w:r w:rsidRPr="00A910C6">
        <w:rPr>
          <w:rFonts w:ascii="Source Sans Pro" w:eastAsia="Times New Roman" w:hAnsi="Source Sans Pro" w:cs="Times New Roman"/>
          <w:color w:val="FF0000"/>
          <w:sz w:val="23"/>
          <w:szCs w:val="23"/>
          <w:lang w:eastAsia="es-AR"/>
        </w:rPr>
        <w:t xml:space="preserve"> elementos independientes de las estructuras de opresión, y simplemente se les describe como procesos por los cuales los programas fomentan el sentido de valor y autoestima de los individuos</w:t>
      </w: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. Esta individualización inherentemente </w:t>
      </w:r>
      <w:r w:rsidRPr="00A910C6">
        <w:rPr>
          <w:rFonts w:ascii="Source Sans Pro" w:eastAsia="Times New Roman" w:hAnsi="Source Sans Pro" w:cs="Times New Roman"/>
          <w:color w:val="FF0000"/>
          <w:sz w:val="23"/>
          <w:szCs w:val="23"/>
          <w:lang w:eastAsia="es-AR"/>
        </w:rPr>
        <w:t xml:space="preserve">despolitiza la noción de empoderamiento, a menudo reduciéndola al acceso individual a los recursos, y dejando el </w:t>
      </w:r>
      <w:proofErr w:type="spellStart"/>
      <w:r w:rsidRPr="00A910C6">
        <w:rPr>
          <w:rFonts w:ascii="Source Sans Pro" w:eastAsia="Times New Roman" w:hAnsi="Source Sans Pro" w:cs="Times New Roman"/>
          <w:color w:val="FF0000"/>
          <w:sz w:val="23"/>
          <w:szCs w:val="23"/>
          <w:lang w:eastAsia="es-AR"/>
        </w:rPr>
        <w:t>status</w:t>
      </w:r>
      <w:proofErr w:type="spellEnd"/>
      <w:r w:rsidRPr="00A910C6">
        <w:rPr>
          <w:rFonts w:ascii="Source Sans Pro" w:eastAsia="Times New Roman" w:hAnsi="Source Sans Pro" w:cs="Times New Roman"/>
          <w:color w:val="FF0000"/>
          <w:sz w:val="23"/>
          <w:szCs w:val="23"/>
          <w:lang w:eastAsia="es-AR"/>
        </w:rPr>
        <w:t xml:space="preserve"> quo intacto</w:t>
      </w: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. </w:t>
      </w:r>
      <w:r w:rsidRPr="00A910C6">
        <w:rPr>
          <w:rFonts w:ascii="Source Sans Pro" w:eastAsia="Times New Roman" w:hAnsi="Source Sans Pro" w:cs="Times New Roman"/>
          <w:color w:val="FF0000"/>
          <w:sz w:val="23"/>
          <w:szCs w:val="23"/>
          <w:lang w:eastAsia="es-AR"/>
        </w:rPr>
        <w:t>Este autor sostiene que las herramientas emancipadoras de los activistas “se han convertido en herramientas de trabajo para los gobiernos, así como para los organismos financieros internacionales” (</w:t>
      </w:r>
      <w:proofErr w:type="spellStart"/>
      <w:r w:rsidRPr="00A910C6">
        <w:rPr>
          <w:rFonts w:ascii="Source Sans Pro" w:eastAsia="Times New Roman" w:hAnsi="Source Sans Pro" w:cs="Times New Roman"/>
          <w:color w:val="FF0000"/>
          <w:sz w:val="23"/>
          <w:szCs w:val="23"/>
          <w:lang w:eastAsia="es-AR"/>
        </w:rPr>
        <w:t>Miraftab</w:t>
      </w:r>
      <w:proofErr w:type="spellEnd"/>
      <w:r w:rsidRPr="00A910C6">
        <w:rPr>
          <w:rFonts w:ascii="Source Sans Pro" w:eastAsia="Times New Roman" w:hAnsi="Source Sans Pro" w:cs="Times New Roman"/>
          <w:color w:val="FF0000"/>
          <w:sz w:val="23"/>
          <w:szCs w:val="23"/>
          <w:lang w:eastAsia="es-AR"/>
        </w:rPr>
        <w:t>, 2004: 239). Cornwall, al respecto, opina que estas expresiones en boga sirven para anestesiar la capacidad crítica de aquellos que las usan, envolviendo cualquier política y práctica incongruente en un algodón lingüístico (Cornwall, 2008: IX).</w:t>
      </w:r>
    </w:p>
    <w:p w:rsidR="00A910C6" w:rsidRPr="00A910C6" w:rsidRDefault="00A910C6" w:rsidP="00A910C6">
      <w:pPr>
        <w:spacing w:after="240" w:line="408" w:lineRule="atLeast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</w:pPr>
      <w:r w:rsidRPr="00A910C6">
        <w:rPr>
          <w:rFonts w:ascii="Source Sans Pro" w:eastAsia="Times New Roman" w:hAnsi="Source Sans Pro" w:cs="Times New Roman"/>
          <w:color w:val="FF0000"/>
          <w:sz w:val="23"/>
          <w:szCs w:val="23"/>
          <w:lang w:eastAsia="es-AR"/>
        </w:rPr>
        <w:t>Otros hacen una distinción analítica entre los procesos de empoderamiento y los resultados de estos (</w:t>
      </w:r>
      <w:proofErr w:type="spellStart"/>
      <w:r w:rsidRPr="00A910C6">
        <w:rPr>
          <w:rFonts w:ascii="Source Sans Pro" w:eastAsia="Times New Roman" w:hAnsi="Source Sans Pro" w:cs="Times New Roman"/>
          <w:color w:val="FF0000"/>
          <w:sz w:val="23"/>
          <w:szCs w:val="23"/>
          <w:lang w:eastAsia="es-AR"/>
        </w:rPr>
        <w:t>Perkins</w:t>
      </w:r>
      <w:proofErr w:type="spellEnd"/>
      <w:r w:rsidRPr="00A910C6">
        <w:rPr>
          <w:rFonts w:ascii="Source Sans Pro" w:eastAsia="Times New Roman" w:hAnsi="Source Sans Pro" w:cs="Times New Roman"/>
          <w:color w:val="FF0000"/>
          <w:sz w:val="23"/>
          <w:szCs w:val="23"/>
          <w:lang w:eastAsia="es-AR"/>
        </w:rPr>
        <w:t xml:space="preserve"> y </w:t>
      </w:r>
      <w:proofErr w:type="spellStart"/>
      <w:r w:rsidRPr="00A910C6">
        <w:rPr>
          <w:rFonts w:ascii="Source Sans Pro" w:eastAsia="Times New Roman" w:hAnsi="Source Sans Pro" w:cs="Times New Roman"/>
          <w:color w:val="FF0000"/>
          <w:sz w:val="23"/>
          <w:szCs w:val="23"/>
          <w:lang w:eastAsia="es-AR"/>
        </w:rPr>
        <w:t>Zimmermann</w:t>
      </w:r>
      <w:proofErr w:type="spellEnd"/>
      <w:r w:rsidRPr="00A910C6">
        <w:rPr>
          <w:rFonts w:ascii="Source Sans Pro" w:eastAsia="Times New Roman" w:hAnsi="Source Sans Pro" w:cs="Times New Roman"/>
          <w:color w:val="FF0000"/>
          <w:sz w:val="23"/>
          <w:szCs w:val="23"/>
          <w:lang w:eastAsia="es-AR"/>
        </w:rPr>
        <w:t xml:space="preserve">, 1995), y se destaca que los dos varían en su aspecto exterior debido a que no existe un estándar único que puede capturar plenamente su significado en todos </w:t>
      </w:r>
      <w:r w:rsidRPr="00A910C6">
        <w:rPr>
          <w:rFonts w:ascii="Source Sans Pro" w:eastAsia="Times New Roman" w:hAnsi="Source Sans Pro" w:cs="Times New Roman"/>
          <w:color w:val="FF0000"/>
          <w:sz w:val="23"/>
          <w:szCs w:val="23"/>
          <w:lang w:eastAsia="es-AR"/>
        </w:rPr>
        <w:lastRenderedPageBreak/>
        <w:t>los contextos o poblaciones. No obstante medir empoderamiento, y particularmente su relación con los métodos participativos, es un desafío que genera nuevos interrogantes y dificultades.</w:t>
      </w:r>
    </w:p>
    <w:p w:rsidR="00A910C6" w:rsidRPr="00A910C6" w:rsidRDefault="00A910C6" w:rsidP="00A910C6">
      <w:pPr>
        <w:spacing w:after="240" w:line="408" w:lineRule="atLeast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</w:pP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Aunque el debate se origina de la investigación multidisciplinar sobre el desarrollo, destacados antropólogos (A. Cornwall; S.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Vicent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, P. Francis, D.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Mosse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, R.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Stirrat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, C. Giménez, A.N.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Ivasiuc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, entre otros) han hecho importantes aportaciones a ello. Por otra parte, la proliferación de  las políticas, programas y convocatorias a proyectos durante la última década con el objetivo de mejorar la situación de minorías socioculturales y sectores sociales marginalizados en los países europeos ha consolidado el paradigma de participación y empoderamiento no solo entre políticos, operadores y agentes institucionales, sino también por la propia población objeto de atención.</w:t>
      </w:r>
    </w:p>
    <w:p w:rsidR="00A910C6" w:rsidRPr="00A910C6" w:rsidRDefault="00A910C6" w:rsidP="00A910C6">
      <w:pPr>
        <w:spacing w:after="240" w:line="408" w:lineRule="atLeast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</w:pP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Este simposio pretende abordar de forma explícita algunas de las siguientes interrogantes:</w:t>
      </w:r>
    </w:p>
    <w:p w:rsidR="00A910C6" w:rsidRPr="00A910C6" w:rsidRDefault="00A910C6" w:rsidP="00A910C6">
      <w:pPr>
        <w:spacing w:after="240" w:line="408" w:lineRule="atLeast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</w:pP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¿Cuáles son los límites sociales, económicos y políticos de “los proyectos de empoderamiento” ejecutados por gobiernos, empresas, organizaciones no gubernamentales, iglesias y otros agentes?</w:t>
      </w: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br/>
        <w:t>¿En qué condiciones pueden producir estos proyectos efectos transformadores y emancipadores?</w:t>
      </w: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br/>
        <w:t>¿Quién diseña y quién forma la población-objeto (proveedores de servicios y los beneficiarios de servicios) de los proyectos de participación y de empoderamiento?</w:t>
      </w: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br/>
        <w:t xml:space="preserve">¿Cómo se puede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operacionalizar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 el empoderamiento comunitario e individual, y cómo se mide sus impactos?</w:t>
      </w: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br/>
        <w:t xml:space="preserve">¿Cómo los proyectos producen a sujetos empoderados y a sujetos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desempoderados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?</w:t>
      </w: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br/>
        <w:t xml:space="preserve">¿De qué manera el reconocimiento institucional de la representación étnica y la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etnopolítica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 pueden conducir al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desempoderamiento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 de las </w:t>
      </w:r>
      <w:r w:rsidRPr="00A910C6">
        <w:rPr>
          <w:rFonts w:ascii="Source Sans Pro" w:eastAsia="Times New Roman" w:hAnsi="Source Sans Pro" w:cs="Times New Roman"/>
          <w:color w:val="FF0000"/>
          <w:sz w:val="23"/>
          <w:szCs w:val="23"/>
          <w:lang w:eastAsia="es-AR"/>
        </w:rPr>
        <w:t xml:space="preserve">formas no formales </w:t>
      </w: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y estructuras de participación?</w:t>
      </w: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br/>
        <w:t>¿Cuáles son los principales retos / implicaciones éticas y metodológicas en la participación de los actores que son objeto de intervención en la investigación?</w:t>
      </w:r>
    </w:p>
    <w:p w:rsidR="00A910C6" w:rsidRPr="00A910C6" w:rsidRDefault="00A910C6" w:rsidP="00A910C6">
      <w:pPr>
        <w:spacing w:after="0" w:line="408" w:lineRule="atLeast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</w:pP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 xml:space="preserve">Este simposio ofrece una lectura crítica, con sentido holístico y aglutinador, acerca de las posibilidades de desarrollar diagnósticos, evaluaciones de las políticas públicas y elevar un discurso riguroso sobre el tratamiento retórico-ideológico y práctico respecto a minorías socio </w:t>
      </w: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lastRenderedPageBreak/>
        <w:t xml:space="preserve">culturales y otros sectores sociales que </w:t>
      </w:r>
      <w:r w:rsidRPr="00A910C6">
        <w:rPr>
          <w:rFonts w:ascii="Source Sans Pro" w:eastAsia="Times New Roman" w:hAnsi="Source Sans Pro" w:cs="Times New Roman"/>
          <w:color w:val="FF0000"/>
          <w:sz w:val="23"/>
          <w:szCs w:val="23"/>
          <w:lang w:eastAsia="es-AR"/>
        </w:rPr>
        <w:t>contrarreste las visiones ideales, utópicas y</w:t>
      </w:r>
      <w:r w:rsidRPr="00E923A1">
        <w:rPr>
          <w:rFonts w:ascii="Source Sans Pro" w:eastAsia="Times New Roman" w:hAnsi="Source Sans Pro" w:cs="Times New Roman"/>
          <w:color w:val="FF0000"/>
          <w:sz w:val="23"/>
          <w:szCs w:val="23"/>
          <w:lang w:eastAsia="es-AR"/>
        </w:rPr>
        <w:t> </w:t>
      </w:r>
      <w:proofErr w:type="spellStart"/>
      <w:r w:rsidRPr="00E923A1">
        <w:rPr>
          <w:rFonts w:ascii="Source Sans Pro" w:eastAsia="Times New Roman" w:hAnsi="Source Sans Pro" w:cs="Times New Roman"/>
          <w:i/>
          <w:iCs/>
          <w:color w:val="FF0000"/>
          <w:sz w:val="23"/>
          <w:szCs w:val="23"/>
          <w:bdr w:val="none" w:sz="0" w:space="0" w:color="auto" w:frame="1"/>
          <w:lang w:eastAsia="es-AR"/>
        </w:rPr>
        <w:t>naïf</w:t>
      </w:r>
      <w:proofErr w:type="spellEnd"/>
      <w:r w:rsidRPr="00E923A1">
        <w:rPr>
          <w:rFonts w:ascii="Source Sans Pro" w:eastAsia="Times New Roman" w:hAnsi="Source Sans Pro" w:cs="Times New Roman"/>
          <w:color w:val="FF0000"/>
          <w:sz w:val="23"/>
          <w:szCs w:val="23"/>
          <w:lang w:eastAsia="es-AR"/>
        </w:rPr>
        <w:t> </w:t>
      </w:r>
      <w:r w:rsidRPr="00A910C6">
        <w:rPr>
          <w:rFonts w:ascii="Source Sans Pro" w:eastAsia="Times New Roman" w:hAnsi="Source Sans Pro" w:cs="Times New Roman"/>
          <w:color w:val="FF0000"/>
          <w:sz w:val="23"/>
          <w:szCs w:val="23"/>
          <w:lang w:eastAsia="es-AR"/>
        </w:rPr>
        <w:t>sobre la participación y el empoderamiento de dichas poblaciones/sectores sociales</w:t>
      </w: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. La  implicación en uno de los problemas contemporáneos que afectan las relaciones entre el Estado y las poblaciones sujetas a intervención social parte de la premisa de que la antropología se encuentra en el núcleo de cualquier modelo económico,  político y social, y en concreto, se ubica en el análisis de la </w:t>
      </w:r>
      <w:proofErr w:type="spellStart"/>
      <w:r w:rsidRPr="00E923A1">
        <w:rPr>
          <w:rFonts w:ascii="Source Sans Pro" w:eastAsia="Times New Roman" w:hAnsi="Source Sans Pro" w:cs="Times New Roman"/>
          <w:i/>
          <w:iCs/>
          <w:color w:val="FF0000"/>
          <w:sz w:val="23"/>
          <w:szCs w:val="23"/>
          <w:bdr w:val="none" w:sz="0" w:space="0" w:color="auto" w:frame="1"/>
          <w:lang w:eastAsia="es-AR"/>
        </w:rPr>
        <w:t>interfase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 del tratamiento e intervención con minorías socioculturales y otros sectores sociales. Por tanto, puede aportar un poder explicativo, en tanto es un conocimiento que puede ser usado, posee un valor moral, es ético y es político, proporciona sentido y significado, y además es útil a la hora de identificar las causas de los problemas suscitados, aportando evaluaciones, diagnósticos y metodologías de intervención para que los representantes políticos lleven a cabo las acciones congruentes para la reconstrucción de la sociedad civil y la ciudadanía, y primordialmente, de lo público.</w:t>
      </w:r>
    </w:p>
    <w:p w:rsidR="00A910C6" w:rsidRPr="00A910C6" w:rsidRDefault="00A910C6" w:rsidP="00A910C6">
      <w:pPr>
        <w:spacing w:before="300" w:after="0" w:line="360" w:lineRule="atLeast"/>
        <w:jc w:val="both"/>
        <w:outlineLvl w:val="3"/>
        <w:rPr>
          <w:rFonts w:ascii="Open Sans" w:eastAsia="Times New Roman" w:hAnsi="Open Sans" w:cs="Times New Roman"/>
          <w:color w:val="94886E"/>
          <w:sz w:val="30"/>
          <w:szCs w:val="30"/>
          <w:lang w:eastAsia="es-AR"/>
        </w:rPr>
      </w:pPr>
      <w:r w:rsidRPr="00A910C6">
        <w:rPr>
          <w:rFonts w:ascii="Open Sans" w:eastAsia="Times New Roman" w:hAnsi="Open Sans" w:cs="Times New Roman"/>
          <w:color w:val="94886E"/>
          <w:sz w:val="30"/>
          <w:szCs w:val="30"/>
          <w:lang w:eastAsia="es-AR"/>
        </w:rPr>
        <w:t>Referencias bibliográficas</w:t>
      </w:r>
    </w:p>
    <w:p w:rsidR="00A910C6" w:rsidRPr="00A910C6" w:rsidRDefault="00A910C6" w:rsidP="00A910C6">
      <w:pPr>
        <w:spacing w:after="0" w:line="408" w:lineRule="atLeast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</w:pP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 xml:space="preserve">Alsop R y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>Heinsohn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 xml:space="preserve"> N (2005) Measuring empowerment in practice: structuring analysis and framing indicators. </w:t>
      </w:r>
      <w:proofErr w:type="gramStart"/>
      <w:r w:rsidRPr="00A910C6">
        <w:rPr>
          <w:rFonts w:ascii="Source Sans Pro" w:eastAsia="Times New Roman" w:hAnsi="Source Sans Pro" w:cs="Times New Roman"/>
          <w:i/>
          <w:iCs/>
          <w:color w:val="333333"/>
          <w:sz w:val="23"/>
          <w:szCs w:val="23"/>
          <w:bdr w:val="none" w:sz="0" w:space="0" w:color="auto" w:frame="1"/>
          <w:lang w:val="en-US" w:eastAsia="es-AR"/>
        </w:rPr>
        <w:t>World Bank Policy Research Working Paper</w:t>
      </w: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>, (3510).</w:t>
      </w:r>
      <w:proofErr w:type="gram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br/>
        <w:t xml:space="preserve">Cooke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>B y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 xml:space="preserve"> Kothari U (2001) </w:t>
      </w:r>
      <w:r w:rsidRPr="00A910C6">
        <w:rPr>
          <w:rFonts w:ascii="Source Sans Pro" w:eastAsia="Times New Roman" w:hAnsi="Source Sans Pro" w:cs="Times New Roman"/>
          <w:i/>
          <w:iCs/>
          <w:color w:val="333333"/>
          <w:sz w:val="23"/>
          <w:szCs w:val="23"/>
          <w:bdr w:val="none" w:sz="0" w:space="0" w:color="auto" w:frame="1"/>
          <w:lang w:val="en-US" w:eastAsia="es-AR"/>
        </w:rPr>
        <w:t>Participation: The new tyranny?</w:t>
      </w: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 xml:space="preserve"> Cooke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>B y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 xml:space="preserve"> Kothari U (eds.), London – New York: Zed Books.</w:t>
      </w: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br/>
        <w:t xml:space="preserve">Cornwall </w:t>
      </w:r>
      <w:proofErr w:type="gram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>A</w:t>
      </w:r>
      <w:proofErr w:type="gram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 xml:space="preserve"> (2008) Unpacking «Participation». </w:t>
      </w:r>
      <w:proofErr w:type="gram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>Models, meanings and practices.</w:t>
      </w:r>
      <w:proofErr w:type="gram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> </w:t>
      </w:r>
      <w:r w:rsidRPr="00A910C6">
        <w:rPr>
          <w:rFonts w:ascii="Source Sans Pro" w:eastAsia="Times New Roman" w:hAnsi="Source Sans Pro" w:cs="Times New Roman"/>
          <w:i/>
          <w:iCs/>
          <w:color w:val="333333"/>
          <w:sz w:val="23"/>
          <w:szCs w:val="23"/>
          <w:bdr w:val="none" w:sz="0" w:space="0" w:color="auto" w:frame="1"/>
          <w:lang w:val="en-US" w:eastAsia="es-AR"/>
        </w:rPr>
        <w:t>Community Development Journal</w:t>
      </w: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>, 43(3), 269-283.</w:t>
      </w: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br/>
      </w:r>
      <w:proofErr w:type="spellStart"/>
      <w:proofErr w:type="gram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>Fetterman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 xml:space="preserve"> DM (1994) Empowerment evaluation.</w:t>
      </w:r>
      <w:proofErr w:type="gram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> </w:t>
      </w:r>
      <w:proofErr w:type="gramStart"/>
      <w:r w:rsidRPr="00A910C6">
        <w:rPr>
          <w:rFonts w:ascii="Source Sans Pro" w:eastAsia="Times New Roman" w:hAnsi="Source Sans Pro" w:cs="Times New Roman"/>
          <w:i/>
          <w:iCs/>
          <w:color w:val="333333"/>
          <w:sz w:val="23"/>
          <w:szCs w:val="23"/>
          <w:bdr w:val="none" w:sz="0" w:space="0" w:color="auto" w:frame="1"/>
          <w:lang w:val="en-US" w:eastAsia="es-AR"/>
        </w:rPr>
        <w:t>Evaluation practice</w:t>
      </w: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>, Elsevier, 15(1), 1-15.</w:t>
      </w:r>
      <w:proofErr w:type="gram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br/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>Frideres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 xml:space="preserve"> J (1992) Participatory research: An illusionary perspective. En: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>Frideres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 xml:space="preserve"> J (ed.), </w:t>
      </w:r>
      <w:r w:rsidRPr="00A910C6">
        <w:rPr>
          <w:rFonts w:ascii="Source Sans Pro" w:eastAsia="Times New Roman" w:hAnsi="Source Sans Pro" w:cs="Times New Roman"/>
          <w:i/>
          <w:iCs/>
          <w:color w:val="333333"/>
          <w:sz w:val="23"/>
          <w:szCs w:val="23"/>
          <w:bdr w:val="none" w:sz="0" w:space="0" w:color="auto" w:frame="1"/>
          <w:lang w:val="en-US" w:eastAsia="es-AR"/>
        </w:rPr>
        <w:t>A world of communities: Participatory research perspectives</w:t>
      </w: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 xml:space="preserve">, North York, Ontario: </w:t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>Captus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 xml:space="preserve"> University Publications, pp. 1-13.</w:t>
      </w: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br/>
        <w:t>Hickey S y Mohan G (eds.) (2004) </w:t>
      </w:r>
      <w:r w:rsidRPr="00A910C6">
        <w:rPr>
          <w:rFonts w:ascii="Source Sans Pro" w:eastAsia="Times New Roman" w:hAnsi="Source Sans Pro" w:cs="Times New Roman"/>
          <w:i/>
          <w:iCs/>
          <w:color w:val="333333"/>
          <w:sz w:val="23"/>
          <w:szCs w:val="23"/>
          <w:bdr w:val="none" w:sz="0" w:space="0" w:color="auto" w:frame="1"/>
          <w:lang w:val="en-US" w:eastAsia="es-AR"/>
        </w:rPr>
        <w:t xml:space="preserve">Participation: From Tyranny to Transformation? </w:t>
      </w:r>
      <w:proofErr w:type="gramStart"/>
      <w:r w:rsidRPr="00A910C6">
        <w:rPr>
          <w:rFonts w:ascii="Source Sans Pro" w:eastAsia="Times New Roman" w:hAnsi="Source Sans Pro" w:cs="Times New Roman"/>
          <w:i/>
          <w:iCs/>
          <w:color w:val="333333"/>
          <w:sz w:val="23"/>
          <w:szCs w:val="23"/>
          <w:bdr w:val="none" w:sz="0" w:space="0" w:color="auto" w:frame="1"/>
          <w:lang w:val="en-US" w:eastAsia="es-AR"/>
        </w:rPr>
        <w:t>Exploring New Approaches to Participation in Development</w:t>
      </w: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>.</w:t>
      </w:r>
      <w:proofErr w:type="gram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 xml:space="preserve"> London: Zed books.</w:t>
      </w: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br/>
      </w:r>
      <w:proofErr w:type="spell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>Miraftab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 xml:space="preserve"> F (2004) Making Neo-liberal Governance: The Disempowering Work of Empowerment. </w:t>
      </w:r>
      <w:proofErr w:type="gramStart"/>
      <w:r w:rsidRPr="00A910C6">
        <w:rPr>
          <w:rFonts w:ascii="Source Sans Pro" w:eastAsia="Times New Roman" w:hAnsi="Source Sans Pro" w:cs="Times New Roman"/>
          <w:i/>
          <w:iCs/>
          <w:color w:val="333333"/>
          <w:sz w:val="23"/>
          <w:szCs w:val="23"/>
          <w:bdr w:val="none" w:sz="0" w:space="0" w:color="auto" w:frame="1"/>
          <w:lang w:val="en-US" w:eastAsia="es-AR"/>
        </w:rPr>
        <w:t>International Planning Studies</w:t>
      </w:r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>, 9(4), 239-259.</w:t>
      </w:r>
      <w:proofErr w:type="gram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br/>
      </w:r>
      <w:proofErr w:type="gramStart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>Perkins DD y Zimmermann MA (1995) Empowerment Theory, Research, and Application.</w:t>
      </w:r>
      <w:proofErr w:type="gram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es-AR"/>
        </w:rPr>
        <w:t> </w:t>
      </w:r>
      <w:r w:rsidRPr="00A910C6">
        <w:rPr>
          <w:rFonts w:ascii="Source Sans Pro" w:eastAsia="Times New Roman" w:hAnsi="Source Sans Pro" w:cs="Times New Roman"/>
          <w:i/>
          <w:iCs/>
          <w:color w:val="333333"/>
          <w:sz w:val="23"/>
          <w:szCs w:val="23"/>
          <w:bdr w:val="none" w:sz="0" w:space="0" w:color="auto" w:frame="1"/>
          <w:lang w:eastAsia="es-AR"/>
        </w:rPr>
        <w:t xml:space="preserve">American </w:t>
      </w:r>
      <w:proofErr w:type="spellStart"/>
      <w:r w:rsidRPr="00A910C6">
        <w:rPr>
          <w:rFonts w:ascii="Source Sans Pro" w:eastAsia="Times New Roman" w:hAnsi="Source Sans Pro" w:cs="Times New Roman"/>
          <w:i/>
          <w:iCs/>
          <w:color w:val="333333"/>
          <w:sz w:val="23"/>
          <w:szCs w:val="23"/>
          <w:bdr w:val="none" w:sz="0" w:space="0" w:color="auto" w:frame="1"/>
          <w:lang w:eastAsia="es-AR"/>
        </w:rPr>
        <w:t>Journal</w:t>
      </w:r>
      <w:proofErr w:type="spellEnd"/>
      <w:r w:rsidRPr="00A910C6">
        <w:rPr>
          <w:rFonts w:ascii="Source Sans Pro" w:eastAsia="Times New Roman" w:hAnsi="Source Sans Pro" w:cs="Times New Roman"/>
          <w:i/>
          <w:iCs/>
          <w:color w:val="333333"/>
          <w:sz w:val="23"/>
          <w:szCs w:val="23"/>
          <w:bdr w:val="none" w:sz="0" w:space="0" w:color="auto" w:frame="1"/>
          <w:lang w:eastAsia="es-AR"/>
        </w:rPr>
        <w:t xml:space="preserve"> of </w:t>
      </w:r>
      <w:proofErr w:type="spellStart"/>
      <w:r w:rsidRPr="00A910C6">
        <w:rPr>
          <w:rFonts w:ascii="Source Sans Pro" w:eastAsia="Times New Roman" w:hAnsi="Source Sans Pro" w:cs="Times New Roman"/>
          <w:i/>
          <w:iCs/>
          <w:color w:val="333333"/>
          <w:sz w:val="23"/>
          <w:szCs w:val="23"/>
          <w:bdr w:val="none" w:sz="0" w:space="0" w:color="auto" w:frame="1"/>
          <w:lang w:eastAsia="es-AR"/>
        </w:rPr>
        <w:t>Community</w:t>
      </w:r>
      <w:proofErr w:type="spellEnd"/>
      <w:r w:rsidRPr="00A910C6">
        <w:rPr>
          <w:rFonts w:ascii="Source Sans Pro" w:eastAsia="Times New Roman" w:hAnsi="Source Sans Pro" w:cs="Times New Roman"/>
          <w:i/>
          <w:iCs/>
          <w:color w:val="333333"/>
          <w:sz w:val="23"/>
          <w:szCs w:val="23"/>
          <w:bdr w:val="none" w:sz="0" w:space="0" w:color="auto" w:frame="1"/>
          <w:lang w:eastAsia="es-AR"/>
        </w:rPr>
        <w:t xml:space="preserve"> </w:t>
      </w:r>
      <w:proofErr w:type="spellStart"/>
      <w:r w:rsidRPr="00A910C6">
        <w:rPr>
          <w:rFonts w:ascii="Source Sans Pro" w:eastAsia="Times New Roman" w:hAnsi="Source Sans Pro" w:cs="Times New Roman"/>
          <w:i/>
          <w:iCs/>
          <w:color w:val="333333"/>
          <w:sz w:val="23"/>
          <w:szCs w:val="23"/>
          <w:bdr w:val="none" w:sz="0" w:space="0" w:color="auto" w:frame="1"/>
          <w:lang w:eastAsia="es-AR"/>
        </w:rPr>
        <w:t>Psychology</w:t>
      </w:r>
      <w:proofErr w:type="spellEnd"/>
      <w:r w:rsidRPr="00A910C6">
        <w:rPr>
          <w:rFonts w:ascii="Source Sans Pro" w:eastAsia="Times New Roman" w:hAnsi="Source Sans Pro" w:cs="Times New Roman"/>
          <w:color w:val="333333"/>
          <w:sz w:val="23"/>
          <w:szCs w:val="23"/>
          <w:lang w:eastAsia="es-AR"/>
        </w:rPr>
        <w:t>, 23(5), 569-579</w:t>
      </w:r>
    </w:p>
    <w:p w:rsidR="00B742C6" w:rsidRDefault="00932A6C"/>
    <w:p w:rsidR="00FD521D" w:rsidRDefault="00FD521D"/>
    <w:sectPr w:rsidR="00FD521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A6C" w:rsidRDefault="00932A6C" w:rsidP="00C615BF">
      <w:pPr>
        <w:spacing w:after="0" w:line="240" w:lineRule="auto"/>
      </w:pPr>
      <w:r>
        <w:separator/>
      </w:r>
    </w:p>
  </w:endnote>
  <w:endnote w:type="continuationSeparator" w:id="0">
    <w:p w:rsidR="00932A6C" w:rsidRDefault="00932A6C" w:rsidP="00C61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A6C" w:rsidRDefault="00932A6C" w:rsidP="00C615BF">
      <w:pPr>
        <w:spacing w:after="0" w:line="240" w:lineRule="auto"/>
      </w:pPr>
      <w:r>
        <w:separator/>
      </w:r>
    </w:p>
  </w:footnote>
  <w:footnote w:type="continuationSeparator" w:id="0">
    <w:p w:rsidR="00932A6C" w:rsidRDefault="00932A6C" w:rsidP="00C615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A514A"/>
    <w:multiLevelType w:val="multilevel"/>
    <w:tmpl w:val="A92A2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A80DED"/>
    <w:multiLevelType w:val="hybridMultilevel"/>
    <w:tmpl w:val="BD0E36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A3326C"/>
    <w:multiLevelType w:val="hybridMultilevel"/>
    <w:tmpl w:val="C8249B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C6"/>
    <w:rsid w:val="00104AC9"/>
    <w:rsid w:val="00110C07"/>
    <w:rsid w:val="001C1D04"/>
    <w:rsid w:val="001C490D"/>
    <w:rsid w:val="001C5544"/>
    <w:rsid w:val="00240392"/>
    <w:rsid w:val="00250080"/>
    <w:rsid w:val="0026587A"/>
    <w:rsid w:val="00274ADB"/>
    <w:rsid w:val="00296F44"/>
    <w:rsid w:val="003F38AD"/>
    <w:rsid w:val="0042725D"/>
    <w:rsid w:val="00511ADF"/>
    <w:rsid w:val="00556009"/>
    <w:rsid w:val="005720A4"/>
    <w:rsid w:val="00745E8A"/>
    <w:rsid w:val="00752CE3"/>
    <w:rsid w:val="007866EF"/>
    <w:rsid w:val="007B2A49"/>
    <w:rsid w:val="00816313"/>
    <w:rsid w:val="00932A6C"/>
    <w:rsid w:val="009A2939"/>
    <w:rsid w:val="00A34ABA"/>
    <w:rsid w:val="00A66B1A"/>
    <w:rsid w:val="00A910C6"/>
    <w:rsid w:val="00A94F0C"/>
    <w:rsid w:val="00A97D9B"/>
    <w:rsid w:val="00A97DE9"/>
    <w:rsid w:val="00AA5C81"/>
    <w:rsid w:val="00AC6D35"/>
    <w:rsid w:val="00AF0F14"/>
    <w:rsid w:val="00AF2BC2"/>
    <w:rsid w:val="00B27635"/>
    <w:rsid w:val="00B40804"/>
    <w:rsid w:val="00B82EA8"/>
    <w:rsid w:val="00B8436B"/>
    <w:rsid w:val="00B95D69"/>
    <w:rsid w:val="00C369E3"/>
    <w:rsid w:val="00C615BF"/>
    <w:rsid w:val="00C64C80"/>
    <w:rsid w:val="00CE4242"/>
    <w:rsid w:val="00D45391"/>
    <w:rsid w:val="00D50BC8"/>
    <w:rsid w:val="00D72E3D"/>
    <w:rsid w:val="00D91E37"/>
    <w:rsid w:val="00DC50D4"/>
    <w:rsid w:val="00DF1674"/>
    <w:rsid w:val="00E923A1"/>
    <w:rsid w:val="00EA37E5"/>
    <w:rsid w:val="00EA7E6D"/>
    <w:rsid w:val="00EC3CB7"/>
    <w:rsid w:val="00F61755"/>
    <w:rsid w:val="00FD521D"/>
    <w:rsid w:val="00FF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910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4">
    <w:name w:val="heading 4"/>
    <w:basedOn w:val="Normal"/>
    <w:link w:val="Ttulo4Car"/>
    <w:uiPriority w:val="9"/>
    <w:qFormat/>
    <w:rsid w:val="00A910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910C6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4Car">
    <w:name w:val="Título 4 Car"/>
    <w:basedOn w:val="Fuentedeprrafopredeter"/>
    <w:link w:val="Ttulo4"/>
    <w:uiPriority w:val="9"/>
    <w:rsid w:val="00A910C6"/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A91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apple-converted-space">
    <w:name w:val="apple-converted-space"/>
    <w:basedOn w:val="Fuentedeprrafopredeter"/>
    <w:rsid w:val="00A910C6"/>
  </w:style>
  <w:style w:type="character" w:customStyle="1" w:styleId="lozenge-static">
    <w:name w:val="lozenge-static"/>
    <w:basedOn w:val="Fuentedeprrafopredeter"/>
    <w:rsid w:val="00A910C6"/>
  </w:style>
  <w:style w:type="character" w:styleId="nfasis">
    <w:name w:val="Emphasis"/>
    <w:basedOn w:val="Fuentedeprrafopredeter"/>
    <w:uiPriority w:val="20"/>
    <w:qFormat/>
    <w:rsid w:val="00A910C6"/>
    <w:rPr>
      <w:i/>
      <w:iCs/>
    </w:rPr>
  </w:style>
  <w:style w:type="paragraph" w:customStyle="1" w:styleId="normal0">
    <w:name w:val="normal"/>
    <w:rsid w:val="0026587A"/>
    <w:rPr>
      <w:rFonts w:ascii="Calibri" w:eastAsia="Times New Roman" w:hAnsi="Calibri" w:cs="Calibri"/>
      <w:color w:val="000000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DC50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910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4">
    <w:name w:val="heading 4"/>
    <w:basedOn w:val="Normal"/>
    <w:link w:val="Ttulo4Car"/>
    <w:uiPriority w:val="9"/>
    <w:qFormat/>
    <w:rsid w:val="00A910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910C6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4Car">
    <w:name w:val="Título 4 Car"/>
    <w:basedOn w:val="Fuentedeprrafopredeter"/>
    <w:link w:val="Ttulo4"/>
    <w:uiPriority w:val="9"/>
    <w:rsid w:val="00A910C6"/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A91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apple-converted-space">
    <w:name w:val="apple-converted-space"/>
    <w:basedOn w:val="Fuentedeprrafopredeter"/>
    <w:rsid w:val="00A910C6"/>
  </w:style>
  <w:style w:type="character" w:customStyle="1" w:styleId="lozenge-static">
    <w:name w:val="lozenge-static"/>
    <w:basedOn w:val="Fuentedeprrafopredeter"/>
    <w:rsid w:val="00A910C6"/>
  </w:style>
  <w:style w:type="character" w:styleId="nfasis">
    <w:name w:val="Emphasis"/>
    <w:basedOn w:val="Fuentedeprrafopredeter"/>
    <w:uiPriority w:val="20"/>
    <w:qFormat/>
    <w:rsid w:val="00A910C6"/>
    <w:rPr>
      <w:i/>
      <w:iCs/>
    </w:rPr>
  </w:style>
  <w:style w:type="paragraph" w:customStyle="1" w:styleId="normal0">
    <w:name w:val="normal"/>
    <w:rsid w:val="0026587A"/>
    <w:rPr>
      <w:rFonts w:ascii="Calibri" w:eastAsia="Times New Roman" w:hAnsi="Calibri" w:cs="Calibri"/>
      <w:color w:val="000000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DC50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9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anakunin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2005</Words>
  <Characters>11031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EXO</dc:creator>
  <cp:lastModifiedBy>EXO</cp:lastModifiedBy>
  <cp:revision>2</cp:revision>
  <dcterms:created xsi:type="dcterms:W3CDTF">2016-09-23T15:19:00Z</dcterms:created>
  <dcterms:modified xsi:type="dcterms:W3CDTF">2016-09-23T15:19:00Z</dcterms:modified>
</cp:coreProperties>
</file>