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B334B" w:rsidRPr="005C227B" w:rsidRDefault="008F3EEC">
      <w:pPr>
        <w:rPr>
          <w:rFonts w:ascii="Arial" w:hAnsi="Arial"/>
          <w:b/>
        </w:rPr>
      </w:pPr>
      <w:r w:rsidRPr="005C227B">
        <w:rPr>
          <w:rFonts w:ascii="Arial" w:hAnsi="Arial"/>
          <w:b/>
        </w:rPr>
        <w:t xml:space="preserve">ABTRACT </w:t>
      </w:r>
      <w:r w:rsidR="005B334B" w:rsidRPr="005C227B">
        <w:rPr>
          <w:rFonts w:ascii="Arial" w:hAnsi="Arial"/>
          <w:b/>
        </w:rPr>
        <w:t>Congreso</w:t>
      </w:r>
      <w:r w:rsidR="009F01A8">
        <w:rPr>
          <w:rFonts w:ascii="Arial" w:hAnsi="Arial"/>
          <w:b/>
        </w:rPr>
        <w:t xml:space="preserve"> de Antropologí</w:t>
      </w:r>
      <w:r w:rsidR="005B334B" w:rsidRPr="005C227B">
        <w:rPr>
          <w:rFonts w:ascii="Arial" w:hAnsi="Arial"/>
          <w:b/>
        </w:rPr>
        <w:t>a</w:t>
      </w:r>
      <w:r w:rsidR="001964D3" w:rsidRPr="005C227B">
        <w:rPr>
          <w:rFonts w:ascii="Arial" w:hAnsi="Arial"/>
          <w:b/>
        </w:rPr>
        <w:t xml:space="preserve"> Septiembre 2017</w:t>
      </w:r>
    </w:p>
    <w:p w:rsidR="005B334B" w:rsidRPr="005C227B" w:rsidRDefault="005B334B">
      <w:pPr>
        <w:rPr>
          <w:rFonts w:ascii="Arial" w:hAnsi="Arial"/>
          <w:b/>
        </w:rPr>
      </w:pPr>
      <w:r w:rsidRPr="005C227B">
        <w:rPr>
          <w:rFonts w:ascii="Arial" w:hAnsi="Arial"/>
          <w:b/>
        </w:rPr>
        <w:t>TÍTULO:</w:t>
      </w:r>
      <w:r w:rsidR="001964D3" w:rsidRPr="005C227B">
        <w:rPr>
          <w:rFonts w:ascii="Arial" w:hAnsi="Arial"/>
          <w:b/>
        </w:rPr>
        <w:t xml:space="preserve"> </w:t>
      </w:r>
      <w:r w:rsidR="005C227B">
        <w:rPr>
          <w:rFonts w:ascii="Arial" w:hAnsi="Arial"/>
          <w:b/>
        </w:rPr>
        <w:t xml:space="preserve"> </w:t>
      </w:r>
      <w:r w:rsidR="005C227B" w:rsidRPr="005C227B">
        <w:rPr>
          <w:rFonts w:ascii="Arial" w:hAnsi="Arial"/>
        </w:rPr>
        <w:t xml:space="preserve">Los Derechos Humanos en la Querella Argentina: </w:t>
      </w:r>
      <w:r w:rsidR="005C227B">
        <w:rPr>
          <w:rFonts w:ascii="Arial" w:hAnsi="Arial"/>
        </w:rPr>
        <w:t>u</w:t>
      </w:r>
      <w:r w:rsidR="005C227B" w:rsidRPr="005C227B">
        <w:rPr>
          <w:rFonts w:ascii="Arial" w:hAnsi="Arial"/>
        </w:rPr>
        <w:t>sos, ambivalencias y nuevas desigualdades</w:t>
      </w:r>
      <w:r w:rsidR="005C227B">
        <w:rPr>
          <w:rFonts w:ascii="Arial" w:hAnsi="Arial"/>
          <w:b/>
        </w:rPr>
        <w:t xml:space="preserve"> </w:t>
      </w:r>
    </w:p>
    <w:p w:rsidR="005B334B" w:rsidRPr="005C227B" w:rsidRDefault="005B334B">
      <w:pPr>
        <w:rPr>
          <w:rFonts w:ascii="Arial" w:hAnsi="Arial"/>
          <w:b/>
        </w:rPr>
      </w:pPr>
      <w:r w:rsidRPr="005C227B">
        <w:rPr>
          <w:rFonts w:ascii="Arial" w:hAnsi="Arial"/>
          <w:b/>
        </w:rPr>
        <w:t>ABTRACT:</w:t>
      </w:r>
    </w:p>
    <w:p w:rsidR="000A7FB7" w:rsidRPr="005C227B" w:rsidRDefault="005F341C" w:rsidP="000A7FB7">
      <w:pPr>
        <w:jc w:val="both"/>
        <w:rPr>
          <w:rFonts w:ascii="Arial" w:hAnsi="Arial"/>
        </w:rPr>
      </w:pPr>
      <w:r w:rsidRPr="005C227B">
        <w:rPr>
          <w:rFonts w:ascii="Arial" w:hAnsi="Arial"/>
        </w:rPr>
        <w:t>A raíz de los procesos políticos e históricos del final de la Segunda Guerra Mundial y la Declaración Universal de los Derechos Humanos (1948) pero sobretodo ya a partir de los años 70 y a raíz de la caída del bloque soviético (1989) surgieron y se consoli</w:t>
      </w:r>
      <w:r w:rsidR="000A7FB7" w:rsidRPr="005C227B">
        <w:rPr>
          <w:rFonts w:ascii="Arial" w:hAnsi="Arial"/>
        </w:rPr>
        <w:t xml:space="preserve">daron nuevos marcos, lenguajes </w:t>
      </w:r>
      <w:r w:rsidRPr="005C227B">
        <w:rPr>
          <w:rFonts w:ascii="Arial" w:hAnsi="Arial"/>
        </w:rPr>
        <w:t>e imágenes sociales para dar cuenta y representarse los procesos de violencia política en las sociedades contemporáneas (</w:t>
      </w:r>
      <w:proofErr w:type="spellStart"/>
      <w:r w:rsidR="000A7FB7" w:rsidRPr="005C227B">
        <w:rPr>
          <w:rFonts w:ascii="Arial" w:hAnsi="Arial"/>
        </w:rPr>
        <w:t>Viewiorka</w:t>
      </w:r>
      <w:proofErr w:type="spellEnd"/>
      <w:r w:rsidR="000A7FB7" w:rsidRPr="005C227B">
        <w:rPr>
          <w:rFonts w:ascii="Arial" w:hAnsi="Arial"/>
        </w:rPr>
        <w:t>, 2009; Fass</w:t>
      </w:r>
      <w:r w:rsidR="005C227B" w:rsidRPr="005C227B">
        <w:rPr>
          <w:rFonts w:ascii="Arial" w:hAnsi="Arial"/>
        </w:rPr>
        <w:t>in, 2008</w:t>
      </w:r>
      <w:r w:rsidR="000A7FB7" w:rsidRPr="005C227B">
        <w:rPr>
          <w:rFonts w:ascii="Arial" w:hAnsi="Arial"/>
        </w:rPr>
        <w:t xml:space="preserve">), en </w:t>
      </w:r>
      <w:r w:rsidRPr="005C227B">
        <w:rPr>
          <w:rFonts w:ascii="Arial" w:hAnsi="Arial"/>
        </w:rPr>
        <w:t>una consolidación y proliferación de un lenguaje de sentimientos morales y derechos humanos. Es pertinente dar cuenta de las consecuencias que han podido generar estos procesos históricos a gran escala a través de etnografías que den cuenta de, en palabras de Wilson</w:t>
      </w:r>
      <w:r w:rsidR="000A7FB7" w:rsidRPr="005C227B">
        <w:rPr>
          <w:rFonts w:ascii="Arial" w:hAnsi="Arial"/>
        </w:rPr>
        <w:t xml:space="preserve"> (2007)</w:t>
      </w:r>
      <w:r w:rsidRPr="005C227B">
        <w:rPr>
          <w:rFonts w:ascii="Arial" w:hAnsi="Arial"/>
        </w:rPr>
        <w:t>, la "vida social de los derechos humanos</w:t>
      </w:r>
      <w:r w:rsidR="000A7FB7" w:rsidRPr="005C227B">
        <w:rPr>
          <w:rFonts w:ascii="Arial" w:hAnsi="Arial"/>
        </w:rPr>
        <w:t xml:space="preserve">. </w:t>
      </w:r>
    </w:p>
    <w:p w:rsidR="005F341C" w:rsidRPr="005C227B" w:rsidRDefault="005F341C" w:rsidP="005F341C">
      <w:pPr>
        <w:jc w:val="both"/>
        <w:rPr>
          <w:rFonts w:ascii="Arial" w:hAnsi="Arial"/>
          <w:szCs w:val="22"/>
        </w:rPr>
      </w:pPr>
      <w:r w:rsidRPr="005C227B">
        <w:rPr>
          <w:rFonts w:ascii="Arial" w:hAnsi="Arial"/>
        </w:rPr>
        <w:t>A través de una investigación etnográfica de un proceso penal internacional como es la "Querella Argentina Contra los Crímenes del Franquismo" trataremos de profundizar sobre algunas de estas cuestiones. El objetivo principal de esta comunicación será dar cuenta de</w:t>
      </w:r>
      <w:r w:rsidR="000A7FB7" w:rsidRPr="005C227B">
        <w:rPr>
          <w:rFonts w:ascii="Arial" w:hAnsi="Arial"/>
        </w:rPr>
        <w:t xml:space="preserve"> dos procesos.</w:t>
      </w:r>
      <w:r w:rsidR="000A7FB7" w:rsidRPr="005C227B">
        <w:rPr>
          <w:rFonts w:ascii="Arial" w:hAnsi="Arial"/>
          <w:szCs w:val="22"/>
        </w:rPr>
        <w:t xml:space="preserve"> </w:t>
      </w:r>
      <w:r w:rsidRPr="005C227B">
        <w:rPr>
          <w:rFonts w:ascii="Arial" w:hAnsi="Arial"/>
        </w:rPr>
        <w:t xml:space="preserve">Por un lado, la Querella Argentina ha generado un espacio de consolidación, reconocimiento y visibilización de las víctimas del franquismo sin precedentes, debido entre otras cosas a la </w:t>
      </w:r>
      <w:r w:rsidR="00D957F4" w:rsidRPr="005C227B">
        <w:rPr>
          <w:rFonts w:ascii="Arial" w:hAnsi="Arial"/>
        </w:rPr>
        <w:t>verticalización del conflicto</w:t>
      </w:r>
      <w:r w:rsidRPr="005C227B">
        <w:rPr>
          <w:rFonts w:ascii="Arial" w:hAnsi="Arial"/>
        </w:rPr>
        <w:t xml:space="preserve">, la homologación </w:t>
      </w:r>
      <w:r w:rsidRPr="005C227B">
        <w:rPr>
          <w:rFonts w:ascii="Arial" w:hAnsi="Arial"/>
          <w:i/>
        </w:rPr>
        <w:t xml:space="preserve">de </w:t>
      </w:r>
      <w:r w:rsidRPr="005C227B">
        <w:rPr>
          <w:rFonts w:ascii="Arial" w:hAnsi="Arial"/>
        </w:rPr>
        <w:t xml:space="preserve">y </w:t>
      </w:r>
      <w:r w:rsidRPr="005C227B">
        <w:rPr>
          <w:rFonts w:ascii="Arial" w:hAnsi="Arial"/>
          <w:i/>
        </w:rPr>
        <w:t>con</w:t>
      </w:r>
      <w:r w:rsidRPr="005C227B">
        <w:rPr>
          <w:rFonts w:ascii="Arial" w:hAnsi="Arial"/>
        </w:rPr>
        <w:t xml:space="preserve"> otras víctimas, o el desplazamiento discursivo hacia un marco de derechos humanos en el espacio público.</w:t>
      </w:r>
      <w:r w:rsidR="000A7FB7" w:rsidRPr="005C227B">
        <w:rPr>
          <w:rFonts w:ascii="Arial" w:hAnsi="Arial"/>
        </w:rPr>
        <w:t xml:space="preserve"> </w:t>
      </w:r>
      <w:r w:rsidRPr="005C227B">
        <w:rPr>
          <w:rFonts w:ascii="Arial" w:hAnsi="Arial"/>
        </w:rPr>
        <w:t xml:space="preserve">Por otro lado, las diferentes trayectorias biográficas (muchas de ellas militantes), posiciones y capitales simbólicos de una variedad tan amplia de experiencias represivas, diferentes discursos, diferentes regímenes de verdad (Foucault, 1977) que atraviesan el proceso judicial, producen un espacio, plural, desigual y estructurado que genera nuevas desigualdades y diferentes objetos en juego. </w:t>
      </w:r>
    </w:p>
    <w:p w:rsidR="000A7FB7" w:rsidRPr="005C227B" w:rsidRDefault="000A7FB7">
      <w:pPr>
        <w:rPr>
          <w:rFonts w:ascii="Arial" w:hAnsi="Arial"/>
          <w:b/>
        </w:rPr>
      </w:pPr>
      <w:r w:rsidRPr="005C227B">
        <w:rPr>
          <w:rFonts w:ascii="Arial" w:hAnsi="Arial"/>
          <w:b/>
        </w:rPr>
        <w:t>Bibliografía</w:t>
      </w:r>
    </w:p>
    <w:p w:rsidR="00736C8D" w:rsidRPr="009F01A8" w:rsidRDefault="00736C8D">
      <w:pPr>
        <w:rPr>
          <w:rFonts w:ascii="Arial" w:hAnsi="Arial"/>
        </w:rPr>
      </w:pPr>
      <w:proofErr w:type="spellStart"/>
      <w:r w:rsidRPr="009F01A8">
        <w:rPr>
          <w:rFonts w:ascii="Arial" w:hAnsi="Arial"/>
        </w:rPr>
        <w:t>Wievorka</w:t>
      </w:r>
      <w:proofErr w:type="spellEnd"/>
      <w:r w:rsidRPr="009F01A8">
        <w:rPr>
          <w:rFonts w:ascii="Arial" w:hAnsi="Arial"/>
        </w:rPr>
        <w:t>,</w:t>
      </w:r>
      <w:r w:rsidR="009F01A8">
        <w:rPr>
          <w:rFonts w:ascii="Arial" w:hAnsi="Arial"/>
        </w:rPr>
        <w:t xml:space="preserve"> M.</w:t>
      </w:r>
      <w:r w:rsidRPr="009F01A8">
        <w:rPr>
          <w:rFonts w:ascii="Arial" w:hAnsi="Arial"/>
        </w:rPr>
        <w:t xml:space="preserve"> 2009</w:t>
      </w:r>
      <w:r w:rsidR="00FC5D03" w:rsidRPr="009F01A8">
        <w:rPr>
          <w:rFonts w:ascii="Arial" w:hAnsi="Arial"/>
        </w:rPr>
        <w:t xml:space="preserve"> “</w:t>
      </w:r>
      <w:proofErr w:type="spellStart"/>
      <w:r w:rsidR="00FC5D03" w:rsidRPr="009F01A8">
        <w:rPr>
          <w:rFonts w:ascii="Arial" w:hAnsi="Arial"/>
        </w:rPr>
        <w:t>The</w:t>
      </w:r>
      <w:proofErr w:type="spellEnd"/>
      <w:r w:rsidR="00FC5D03" w:rsidRPr="009F01A8">
        <w:rPr>
          <w:rFonts w:ascii="Arial" w:hAnsi="Arial"/>
        </w:rPr>
        <w:t xml:space="preserve"> emergente </w:t>
      </w:r>
      <w:proofErr w:type="spellStart"/>
      <w:r w:rsidR="00FC5D03" w:rsidRPr="009F01A8">
        <w:rPr>
          <w:rFonts w:ascii="Arial" w:hAnsi="Arial"/>
        </w:rPr>
        <w:t>of</w:t>
      </w:r>
      <w:proofErr w:type="spellEnd"/>
      <w:r w:rsidR="00FC5D03" w:rsidRPr="009F01A8">
        <w:rPr>
          <w:rFonts w:ascii="Arial" w:hAnsi="Arial"/>
        </w:rPr>
        <w:t xml:space="preserve"> </w:t>
      </w:r>
      <w:proofErr w:type="spellStart"/>
      <w:r w:rsidR="00FC5D03" w:rsidRPr="009F01A8">
        <w:rPr>
          <w:rFonts w:ascii="Arial" w:hAnsi="Arial"/>
        </w:rPr>
        <w:t>victims</w:t>
      </w:r>
      <w:proofErr w:type="spellEnd"/>
      <w:r w:rsidR="00FC5D03" w:rsidRPr="009F01A8">
        <w:rPr>
          <w:rFonts w:ascii="Arial" w:hAnsi="Arial"/>
        </w:rPr>
        <w:t>”</w:t>
      </w:r>
      <w:r w:rsidR="005C227B" w:rsidRPr="009F01A8">
        <w:rPr>
          <w:rFonts w:ascii="Arial" w:hAnsi="Arial"/>
        </w:rPr>
        <w:t xml:space="preserve"> en La </w:t>
      </w:r>
      <w:proofErr w:type="spellStart"/>
      <w:r w:rsidR="005C227B" w:rsidRPr="009F01A8">
        <w:rPr>
          <w:rFonts w:ascii="Arial" w:hAnsi="Arial"/>
        </w:rPr>
        <w:t>Violence</w:t>
      </w:r>
      <w:proofErr w:type="spellEnd"/>
      <w:r w:rsidR="005C227B" w:rsidRPr="009F01A8">
        <w:rPr>
          <w:rFonts w:ascii="Arial" w:hAnsi="Arial"/>
        </w:rPr>
        <w:t>.</w:t>
      </w:r>
    </w:p>
    <w:p w:rsidR="00736C8D" w:rsidRPr="009F01A8" w:rsidRDefault="005C227B" w:rsidP="009F01A8">
      <w:pPr>
        <w:spacing w:line="360" w:lineRule="auto"/>
        <w:jc w:val="both"/>
        <w:rPr>
          <w:rFonts w:ascii="Arial" w:hAnsi="Arial"/>
        </w:rPr>
      </w:pPr>
      <w:r w:rsidRPr="005C227B">
        <w:rPr>
          <w:rFonts w:ascii="Arial" w:hAnsi="Arial"/>
        </w:rPr>
        <w:t xml:space="preserve">Fassin, </w:t>
      </w:r>
      <w:r w:rsidR="009F01A8">
        <w:rPr>
          <w:rFonts w:ascii="Arial" w:hAnsi="Arial"/>
        </w:rPr>
        <w:t xml:space="preserve">D. </w:t>
      </w:r>
      <w:r w:rsidRPr="005C227B">
        <w:rPr>
          <w:rFonts w:ascii="Arial" w:hAnsi="Arial"/>
        </w:rPr>
        <w:t>2008: “</w:t>
      </w:r>
      <w:proofErr w:type="spellStart"/>
      <w:r w:rsidRPr="005C227B">
        <w:rPr>
          <w:rFonts w:ascii="Arial" w:hAnsi="Arial"/>
        </w:rPr>
        <w:t>The</w:t>
      </w:r>
      <w:proofErr w:type="spellEnd"/>
      <w:r w:rsidRPr="005C227B">
        <w:rPr>
          <w:rFonts w:ascii="Arial" w:hAnsi="Arial"/>
        </w:rPr>
        <w:t xml:space="preserve"> </w:t>
      </w:r>
      <w:proofErr w:type="spellStart"/>
      <w:r w:rsidRPr="005C227B">
        <w:rPr>
          <w:rFonts w:ascii="Arial" w:hAnsi="Arial"/>
        </w:rPr>
        <w:t>humanitarian</w:t>
      </w:r>
      <w:proofErr w:type="spellEnd"/>
      <w:r w:rsidRPr="005C227B">
        <w:rPr>
          <w:rFonts w:ascii="Arial" w:hAnsi="Arial"/>
        </w:rPr>
        <w:t xml:space="preserve"> </w:t>
      </w:r>
      <w:proofErr w:type="spellStart"/>
      <w:r w:rsidRPr="005C227B">
        <w:rPr>
          <w:rFonts w:ascii="Arial" w:hAnsi="Arial"/>
        </w:rPr>
        <w:t>politics</w:t>
      </w:r>
      <w:proofErr w:type="spellEnd"/>
      <w:r w:rsidRPr="005C227B">
        <w:rPr>
          <w:rFonts w:ascii="Arial" w:hAnsi="Arial"/>
        </w:rPr>
        <w:t xml:space="preserve"> </w:t>
      </w:r>
      <w:proofErr w:type="spellStart"/>
      <w:r w:rsidRPr="005C227B">
        <w:rPr>
          <w:rFonts w:ascii="Arial" w:hAnsi="Arial"/>
        </w:rPr>
        <w:t>of</w:t>
      </w:r>
      <w:proofErr w:type="spellEnd"/>
      <w:r w:rsidRPr="005C227B">
        <w:rPr>
          <w:rFonts w:ascii="Arial" w:hAnsi="Arial"/>
        </w:rPr>
        <w:t xml:space="preserve"> </w:t>
      </w:r>
      <w:proofErr w:type="spellStart"/>
      <w:r w:rsidRPr="005C227B">
        <w:rPr>
          <w:rFonts w:ascii="Arial" w:hAnsi="Arial"/>
        </w:rPr>
        <w:t>testimony</w:t>
      </w:r>
      <w:proofErr w:type="spellEnd"/>
      <w:r w:rsidRPr="005C227B">
        <w:rPr>
          <w:rFonts w:ascii="Arial" w:hAnsi="Arial"/>
        </w:rPr>
        <w:t xml:space="preserve">, </w:t>
      </w:r>
      <w:proofErr w:type="spellStart"/>
      <w:r w:rsidRPr="005C227B">
        <w:rPr>
          <w:rFonts w:ascii="Arial" w:hAnsi="Arial"/>
        </w:rPr>
        <w:t>didier</w:t>
      </w:r>
      <w:proofErr w:type="spellEnd"/>
      <w:r w:rsidRPr="005C227B">
        <w:rPr>
          <w:rFonts w:ascii="Arial" w:hAnsi="Arial"/>
        </w:rPr>
        <w:t xml:space="preserve"> </w:t>
      </w:r>
      <w:proofErr w:type="spellStart"/>
      <w:r w:rsidRPr="005C227B">
        <w:rPr>
          <w:rFonts w:ascii="Arial" w:hAnsi="Arial"/>
        </w:rPr>
        <w:t>fassin</w:t>
      </w:r>
      <w:proofErr w:type="spellEnd"/>
      <w:r w:rsidRPr="005C227B">
        <w:rPr>
          <w:rFonts w:ascii="Arial" w:hAnsi="Arial"/>
        </w:rPr>
        <w:t xml:space="preserve">, cultural </w:t>
      </w:r>
      <w:proofErr w:type="spellStart"/>
      <w:r w:rsidRPr="005C227B">
        <w:rPr>
          <w:rFonts w:ascii="Arial" w:hAnsi="Arial"/>
        </w:rPr>
        <w:t>anthropology</w:t>
      </w:r>
      <w:proofErr w:type="spellEnd"/>
      <w:r w:rsidRPr="005C227B">
        <w:rPr>
          <w:rFonts w:ascii="Arial" w:hAnsi="Arial"/>
        </w:rPr>
        <w:t xml:space="preserve">, </w:t>
      </w:r>
      <w:proofErr w:type="spellStart"/>
      <w:r w:rsidRPr="005C227B">
        <w:rPr>
          <w:rFonts w:ascii="Arial" w:hAnsi="Arial"/>
        </w:rPr>
        <w:t>aug</w:t>
      </w:r>
      <w:proofErr w:type="spellEnd"/>
      <w:r w:rsidRPr="005C227B">
        <w:rPr>
          <w:rFonts w:ascii="Arial" w:hAnsi="Arial"/>
        </w:rPr>
        <w:t xml:space="preserve"> 2008, 23, 3, </w:t>
      </w:r>
      <w:proofErr w:type="spellStart"/>
      <w:r w:rsidRPr="005C227B">
        <w:rPr>
          <w:rFonts w:ascii="Arial" w:hAnsi="Arial"/>
        </w:rPr>
        <w:t>pag</w:t>
      </w:r>
      <w:proofErr w:type="spellEnd"/>
      <w:r w:rsidRPr="005C227B">
        <w:rPr>
          <w:rFonts w:ascii="Arial" w:hAnsi="Arial"/>
        </w:rPr>
        <w:t xml:space="preserve"> 531-558.</w:t>
      </w:r>
    </w:p>
    <w:p w:rsidR="005C227B" w:rsidRPr="005C227B" w:rsidRDefault="009F01A8" w:rsidP="005C227B">
      <w:pPr>
        <w:spacing w:after="0"/>
        <w:jc w:val="both"/>
        <w:rPr>
          <w:rFonts w:ascii="Arial" w:hAnsi="Arial" w:cs="Calibri"/>
          <w:lang w:val="en-GB"/>
        </w:rPr>
      </w:pPr>
      <w:r>
        <w:rPr>
          <w:rFonts w:ascii="Arial" w:hAnsi="Arial" w:cs="Calibri"/>
          <w:lang w:val="fr-FR"/>
        </w:rPr>
        <w:t>Wilson, R.</w:t>
      </w:r>
      <w:r w:rsidR="005C227B" w:rsidRPr="005C227B">
        <w:rPr>
          <w:rFonts w:ascii="Arial" w:hAnsi="Arial" w:cs="Calibri"/>
          <w:lang w:val="fr-FR"/>
        </w:rPr>
        <w:t xml:space="preserve"> 2</w:t>
      </w:r>
      <w:r w:rsidR="005C227B" w:rsidRPr="005C227B">
        <w:rPr>
          <w:rFonts w:ascii="Arial" w:hAnsi="Arial" w:cs="Calibri"/>
          <w:lang w:val="en-GB"/>
        </w:rPr>
        <w:t xml:space="preserve">007 ‘Tyrannosaurus </w:t>
      </w:r>
      <w:proofErr w:type="spellStart"/>
      <w:r w:rsidR="005C227B" w:rsidRPr="005C227B">
        <w:rPr>
          <w:rFonts w:ascii="Arial" w:hAnsi="Arial" w:cs="Calibri"/>
          <w:lang w:val="en-GB"/>
        </w:rPr>
        <w:t>lex</w:t>
      </w:r>
      <w:proofErr w:type="spellEnd"/>
      <w:r w:rsidR="005C227B" w:rsidRPr="005C227B">
        <w:rPr>
          <w:rFonts w:ascii="Arial" w:hAnsi="Arial" w:cs="Calibri"/>
          <w:lang w:val="en-GB"/>
        </w:rPr>
        <w:t xml:space="preserve">: the Anthropology of Human Rights and Transnational Law’ en </w:t>
      </w:r>
      <w:proofErr w:type="spellStart"/>
      <w:r w:rsidR="005C227B" w:rsidRPr="005C227B">
        <w:rPr>
          <w:rFonts w:ascii="Arial" w:hAnsi="Arial" w:cs="Calibri"/>
          <w:lang w:val="en-GB"/>
        </w:rPr>
        <w:t>Goodale</w:t>
      </w:r>
      <w:proofErr w:type="spellEnd"/>
      <w:r w:rsidR="005C227B" w:rsidRPr="005C227B">
        <w:rPr>
          <w:rFonts w:ascii="Arial" w:hAnsi="Arial" w:cs="Calibri"/>
          <w:lang w:val="en-GB"/>
        </w:rPr>
        <w:t xml:space="preserve"> M., Merry S.E., </w:t>
      </w:r>
      <w:r w:rsidR="005C227B" w:rsidRPr="005C227B">
        <w:rPr>
          <w:rFonts w:ascii="Arial" w:hAnsi="Arial" w:cs="Calibri"/>
          <w:i/>
          <w:lang w:val="en-GB"/>
        </w:rPr>
        <w:t>The Practice of Human Rights. Tracking Law between the Global and the Local</w:t>
      </w:r>
      <w:r w:rsidR="005C227B" w:rsidRPr="005C227B">
        <w:rPr>
          <w:rFonts w:ascii="Arial" w:hAnsi="Arial" w:cs="Calibri"/>
          <w:lang w:val="en-GB"/>
        </w:rPr>
        <w:t>. Cambridge: Cambridge University Press, 342-369 (</w:t>
      </w:r>
      <w:proofErr w:type="spellStart"/>
      <w:r w:rsidR="005C227B" w:rsidRPr="005C227B">
        <w:rPr>
          <w:rFonts w:ascii="Arial" w:hAnsi="Arial" w:cs="Calibri"/>
          <w:lang w:val="en-GB"/>
        </w:rPr>
        <w:t>trad</w:t>
      </w:r>
      <w:proofErr w:type="spellEnd"/>
      <w:r w:rsidR="005C227B" w:rsidRPr="005C227B">
        <w:rPr>
          <w:rFonts w:ascii="Arial" w:hAnsi="Arial" w:cs="Calibri"/>
          <w:lang w:val="en-GB"/>
        </w:rPr>
        <w:t xml:space="preserve">. Cast.). </w:t>
      </w:r>
    </w:p>
    <w:p w:rsidR="009B79CB" w:rsidRDefault="009B79CB">
      <w:pPr>
        <w:rPr>
          <w:b/>
        </w:rPr>
      </w:pPr>
    </w:p>
    <w:p w:rsidR="008F3EEC" w:rsidRPr="000A7FB7" w:rsidRDefault="008F3EEC">
      <w:pPr>
        <w:rPr>
          <w:b/>
        </w:rPr>
      </w:pPr>
    </w:p>
    <w:sectPr w:rsidR="008F3EEC" w:rsidRPr="000A7FB7" w:rsidSect="008F3EEC">
      <w:pgSz w:w="11900" w:h="16840"/>
      <w:pgMar w:top="1797" w:right="1440" w:bottom="1797" w:left="1440" w:header="709" w:footer="709" w:gutter="0"/>
      <w:cols w:space="708"/>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F3EEC"/>
    <w:rsid w:val="000A7FB7"/>
    <w:rsid w:val="001964D3"/>
    <w:rsid w:val="005B334B"/>
    <w:rsid w:val="005C227B"/>
    <w:rsid w:val="005F341C"/>
    <w:rsid w:val="00713CD0"/>
    <w:rsid w:val="00736C8D"/>
    <w:rsid w:val="0074620C"/>
    <w:rsid w:val="008D6AB4"/>
    <w:rsid w:val="008F3EEC"/>
    <w:rsid w:val="009B79CB"/>
    <w:rsid w:val="009F01A8"/>
    <w:rsid w:val="00D957F4"/>
    <w:rsid w:val="00FC5D03"/>
  </w:rsids>
  <m:mathPr>
    <m:mathFont m:val="FilosofiaRegular"/>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13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350</Words>
  <Characters>1998</Characters>
  <Application>Microsoft Word 12.0.0</Application>
  <DocSecurity>0</DocSecurity>
  <Lines>16</Lines>
  <Paragraphs>3</Paragraphs>
  <ScaleCrop>false</ScaleCrop>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Montoto Ugarte</dc:creator>
  <cp:keywords/>
  <cp:lastModifiedBy>Marina Montoto Ugarte</cp:lastModifiedBy>
  <cp:revision>9</cp:revision>
  <dcterms:created xsi:type="dcterms:W3CDTF">2016-10-07T12:14:00Z</dcterms:created>
  <dcterms:modified xsi:type="dcterms:W3CDTF">2016-10-11T09:32:00Z</dcterms:modified>
</cp:coreProperties>
</file>