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9A6" w:rsidRPr="005759A6" w:rsidRDefault="005759A6" w:rsidP="00B309D1">
      <w:pPr>
        <w:spacing w:after="0" w:line="360" w:lineRule="auto"/>
        <w:ind w:firstLine="708"/>
        <w:jc w:val="both"/>
        <w:rPr>
          <w:b/>
          <w:sz w:val="24"/>
          <w:szCs w:val="24"/>
        </w:rPr>
      </w:pPr>
      <w:bookmarkStart w:id="0" w:name="_GoBack"/>
      <w:bookmarkEnd w:id="0"/>
      <w:r w:rsidRPr="005759A6">
        <w:rPr>
          <w:b/>
          <w:sz w:val="24"/>
          <w:szCs w:val="24"/>
        </w:rPr>
        <w:t>LA COMPLEXITAT DEL BINOMI PATRIMONI-TURISME: EL CAS DELS PELEGRINS DE LES USERES.</w:t>
      </w:r>
    </w:p>
    <w:p w:rsidR="005759A6" w:rsidRDefault="00B309D1" w:rsidP="00B309D1">
      <w:pPr>
        <w:spacing w:after="0" w:line="360" w:lineRule="auto"/>
        <w:ind w:firstLine="708"/>
        <w:jc w:val="both"/>
        <w:rPr>
          <w:rFonts w:ascii="Calibri" w:eastAsia="Calibri" w:hAnsi="Calibri" w:cs="Times New Roman"/>
          <w:sz w:val="24"/>
          <w:szCs w:val="24"/>
          <w:lang w:val="ca-ES"/>
        </w:rPr>
      </w:pPr>
      <w:r>
        <w:rPr>
          <w:sz w:val="24"/>
          <w:szCs w:val="24"/>
        </w:rPr>
        <w:t>En la present comunicació</w:t>
      </w:r>
      <w:r w:rsidR="00950702" w:rsidRPr="00713BB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analitzem </w:t>
      </w:r>
      <w:r w:rsidR="00950702" w:rsidRPr="00713BBE">
        <w:rPr>
          <w:sz w:val="24"/>
          <w:szCs w:val="24"/>
        </w:rPr>
        <w:t xml:space="preserve">la </w:t>
      </w:r>
      <w:r w:rsidR="00950702">
        <w:rPr>
          <w:sz w:val="24"/>
          <w:szCs w:val="24"/>
        </w:rPr>
        <w:t xml:space="preserve">peregrinació </w:t>
      </w:r>
      <w:r w:rsidR="00950702" w:rsidRPr="00713BBE">
        <w:rPr>
          <w:sz w:val="24"/>
          <w:szCs w:val="24"/>
        </w:rPr>
        <w:t>de les Useres</w:t>
      </w:r>
      <w:r w:rsidR="00950702">
        <w:rPr>
          <w:sz w:val="24"/>
          <w:szCs w:val="24"/>
        </w:rPr>
        <w:t xml:space="preserve"> (</w:t>
      </w:r>
      <w:r w:rsidR="00950702" w:rsidRPr="00713BBE">
        <w:rPr>
          <w:sz w:val="24"/>
          <w:szCs w:val="24"/>
        </w:rPr>
        <w:t>L’Alcalatén, Castelló</w:t>
      </w:r>
      <w:r w:rsidR="00950702">
        <w:rPr>
          <w:sz w:val="24"/>
          <w:szCs w:val="24"/>
        </w:rPr>
        <w:t xml:space="preserve">) </w:t>
      </w:r>
      <w:r w:rsidR="00950702" w:rsidRPr="00713BBE">
        <w:rPr>
          <w:sz w:val="24"/>
          <w:szCs w:val="24"/>
        </w:rPr>
        <w:t>com a potencial recurs de desenvolupament local. El patrimoni rural es presenta actualment com una oportunitat carregada de reptes per a territoris que s’havien quedat exclosos dels mercats</w:t>
      </w:r>
      <w:r w:rsidR="00950702">
        <w:rPr>
          <w:sz w:val="24"/>
          <w:szCs w:val="24"/>
        </w:rPr>
        <w:t xml:space="preserve"> </w:t>
      </w:r>
      <w:r w:rsidR="00950702" w:rsidRPr="00713BBE">
        <w:rPr>
          <w:sz w:val="24"/>
          <w:szCs w:val="24"/>
        </w:rPr>
        <w:t>globals</w:t>
      </w:r>
      <w:r>
        <w:rPr>
          <w:sz w:val="24"/>
          <w:szCs w:val="24"/>
        </w:rPr>
        <w:t xml:space="preserve">. </w:t>
      </w:r>
      <w:r>
        <w:rPr>
          <w:rFonts w:ascii="Calibri" w:eastAsia="Calibri" w:hAnsi="Calibri" w:cs="Times New Roman"/>
          <w:sz w:val="24"/>
          <w:szCs w:val="24"/>
          <w:lang w:val="ca-ES"/>
        </w:rPr>
        <w:t>Però no sempre aquest binomi patrimoni rural-turisme és tant positiu</w:t>
      </w:r>
      <w:r>
        <w:rPr>
          <w:rFonts w:ascii="Calibri" w:eastAsia="Calibri" w:hAnsi="Calibri" w:cs="Times New Roman"/>
          <w:sz w:val="24"/>
          <w:szCs w:val="24"/>
          <w:lang w:val="ca-ES"/>
        </w:rPr>
        <w:t>,</w:t>
      </w:r>
      <w:r w:rsidRPr="00B309D1">
        <w:rPr>
          <w:rFonts w:ascii="Calibri" w:eastAsia="Calibri" w:hAnsi="Calibri" w:cs="Times New Roman"/>
          <w:sz w:val="24"/>
          <w:szCs w:val="24"/>
          <w:lang w:val="ca-ES"/>
        </w:rPr>
        <w:t xml:space="preserve"> </w:t>
      </w:r>
      <w:r>
        <w:rPr>
          <w:rFonts w:ascii="Calibri" w:eastAsia="Calibri" w:hAnsi="Calibri" w:cs="Times New Roman"/>
          <w:sz w:val="24"/>
          <w:szCs w:val="24"/>
          <w:lang w:val="ca-ES"/>
        </w:rPr>
        <w:t>p</w:t>
      </w:r>
      <w:r>
        <w:rPr>
          <w:rFonts w:ascii="Calibri" w:eastAsia="Calibri" w:hAnsi="Calibri" w:cs="Times New Roman"/>
          <w:sz w:val="24"/>
          <w:szCs w:val="24"/>
          <w:lang w:val="ca-ES"/>
        </w:rPr>
        <w:t>erquè</w:t>
      </w:r>
      <w:r>
        <w:rPr>
          <w:rFonts w:ascii="Calibri" w:eastAsia="Calibri" w:hAnsi="Calibri" w:cs="Times New Roman"/>
          <w:sz w:val="24"/>
          <w:szCs w:val="24"/>
          <w:lang w:val="ca-ES"/>
        </w:rPr>
        <w:t>, com ha expressat</w:t>
      </w:r>
      <w:r>
        <w:rPr>
          <w:rFonts w:ascii="Calibri" w:eastAsia="Calibri" w:hAnsi="Calibri" w:cs="Times New Roman"/>
          <w:sz w:val="24"/>
          <w:szCs w:val="24"/>
          <w:lang w:val="ca-ES"/>
        </w:rPr>
        <w:t xml:space="preserve"> </w:t>
      </w:r>
      <w:r w:rsidRPr="00950702">
        <w:rPr>
          <w:rFonts w:ascii="Calibri" w:eastAsia="Calibri" w:hAnsi="Calibri" w:cs="Times New Roman"/>
          <w:sz w:val="24"/>
          <w:szCs w:val="24"/>
          <w:lang w:val="ca-ES"/>
        </w:rPr>
        <w:t xml:space="preserve">Sánchez-Carretero, </w:t>
      </w:r>
      <w:r>
        <w:rPr>
          <w:rFonts w:ascii="Calibri" w:eastAsia="Calibri" w:hAnsi="Calibri" w:cs="Times New Roman"/>
          <w:sz w:val="24"/>
          <w:szCs w:val="24"/>
          <w:lang w:val="ca-ES"/>
        </w:rPr>
        <w:t xml:space="preserve">(2012) </w:t>
      </w:r>
      <w:r w:rsidRPr="00950702">
        <w:rPr>
          <w:rFonts w:ascii="Calibri" w:eastAsia="Calibri" w:hAnsi="Calibri" w:cs="Times New Roman"/>
          <w:sz w:val="24"/>
          <w:szCs w:val="24"/>
          <w:lang w:val="ca-ES"/>
        </w:rPr>
        <w:t>es produeix una fractura entre el que s’entén pe</w:t>
      </w:r>
      <w:r w:rsidR="005759A6">
        <w:rPr>
          <w:rFonts w:ascii="Calibri" w:eastAsia="Calibri" w:hAnsi="Calibri" w:cs="Times New Roman"/>
          <w:sz w:val="24"/>
          <w:szCs w:val="24"/>
          <w:lang w:val="ca-ES"/>
        </w:rPr>
        <w:t>r patrimoni des de l’àmbit de les polítiques patrimonials.</w:t>
      </w:r>
    </w:p>
    <w:p w:rsidR="00B309D1" w:rsidRDefault="00B309D1" w:rsidP="00B309D1">
      <w:pPr>
        <w:spacing w:after="0" w:line="360" w:lineRule="auto"/>
        <w:ind w:firstLine="708"/>
        <w:jc w:val="both"/>
        <w:rPr>
          <w:rFonts w:cs="Adobe Garamond Pro"/>
          <w:color w:val="000000"/>
          <w:sz w:val="23"/>
          <w:szCs w:val="23"/>
        </w:rPr>
      </w:pPr>
      <w:r>
        <w:rPr>
          <w:rFonts w:ascii="Calibri" w:eastAsia="Calibri" w:hAnsi="Calibri" w:cs="Times New Roman"/>
          <w:sz w:val="24"/>
          <w:szCs w:val="24"/>
          <w:lang w:val="ca-ES"/>
        </w:rPr>
        <w:t xml:space="preserve">En el cas dels Pelegrins de les Useres aquesta situació ha sigut un procés no </w:t>
      </w:r>
      <w:proofErr w:type="spellStart"/>
      <w:r>
        <w:rPr>
          <w:rFonts w:ascii="Calibri" w:eastAsia="Calibri" w:hAnsi="Calibri" w:cs="Times New Roman"/>
          <w:sz w:val="24"/>
          <w:szCs w:val="24"/>
          <w:lang w:val="ca-ES"/>
        </w:rPr>
        <w:t>exent</w:t>
      </w:r>
      <w:proofErr w:type="spellEnd"/>
      <w:r>
        <w:rPr>
          <w:rFonts w:ascii="Calibri" w:eastAsia="Calibri" w:hAnsi="Calibri" w:cs="Times New Roman"/>
          <w:sz w:val="24"/>
          <w:szCs w:val="24"/>
          <w:lang w:val="ca-ES"/>
        </w:rPr>
        <w:t xml:space="preserve"> de conflictes i contradiccions però també d’acords i afectivitats. Segons la mirada de</w:t>
      </w:r>
      <w:r w:rsidRPr="00B309D1">
        <w:rPr>
          <w:rFonts w:cs="Adobe Garamond Pro"/>
          <w:color w:val="000000"/>
          <w:sz w:val="23"/>
          <w:szCs w:val="23"/>
        </w:rPr>
        <w:t xml:space="preserve"> </w:t>
      </w:r>
      <w:proofErr w:type="spellStart"/>
      <w:r>
        <w:rPr>
          <w:rFonts w:cs="Adobe Garamond Pro"/>
          <w:color w:val="000000"/>
          <w:sz w:val="23"/>
          <w:szCs w:val="23"/>
        </w:rPr>
        <w:t>Graburn</w:t>
      </w:r>
      <w:proofErr w:type="spellEnd"/>
      <w:r>
        <w:rPr>
          <w:rFonts w:cs="Adobe Garamond Pro"/>
          <w:color w:val="000000"/>
          <w:sz w:val="23"/>
          <w:szCs w:val="23"/>
        </w:rPr>
        <w:t xml:space="preserve"> i </w:t>
      </w:r>
      <w:proofErr w:type="spellStart"/>
      <w:r>
        <w:rPr>
          <w:rFonts w:cs="Adobe Garamond Pro"/>
          <w:color w:val="000000"/>
          <w:sz w:val="23"/>
          <w:szCs w:val="23"/>
        </w:rPr>
        <w:t>Barthel-Bouchier</w:t>
      </w:r>
      <w:proofErr w:type="spellEnd"/>
      <w:r>
        <w:rPr>
          <w:rFonts w:cs="Adobe Garamond Pro"/>
          <w:color w:val="000000"/>
          <w:sz w:val="23"/>
          <w:szCs w:val="23"/>
        </w:rPr>
        <w:t xml:space="preserve"> (2001).</w:t>
      </w:r>
      <w:r>
        <w:rPr>
          <w:rFonts w:ascii="Calibri" w:eastAsia="Calibri" w:hAnsi="Calibri" w:cs="Times New Roman"/>
          <w:sz w:val="24"/>
          <w:szCs w:val="24"/>
          <w:lang w:val="ca-ES"/>
        </w:rPr>
        <w:t xml:space="preserve"> </w:t>
      </w:r>
      <w:r>
        <w:rPr>
          <w:rFonts w:cs="Adobe Garamond Pro"/>
          <w:color w:val="000000"/>
          <w:sz w:val="23"/>
          <w:szCs w:val="23"/>
        </w:rPr>
        <w:t>la idea del turista està dominada per la imatge d’algú superficial i ingenu que busca entreteniment, persones banals, soro</w:t>
      </w:r>
      <w:r>
        <w:rPr>
          <w:rFonts w:cs="Adobe Garamond Pro"/>
          <w:color w:val="000000"/>
          <w:sz w:val="23"/>
          <w:szCs w:val="23"/>
        </w:rPr>
        <w:softHyphen/>
        <w:t>lloses, ingènues i, el pitjor de tot, incultes</w:t>
      </w:r>
      <w:r w:rsidR="005759A6">
        <w:rPr>
          <w:rFonts w:cs="Adobe Garamond Pro"/>
          <w:color w:val="000000"/>
          <w:sz w:val="23"/>
          <w:szCs w:val="23"/>
        </w:rPr>
        <w:t xml:space="preserve">. Tanmateix, com ha assenyalat Smith (2014) </w:t>
      </w:r>
      <w:proofErr w:type="spellStart"/>
      <w:r w:rsidR="005759A6">
        <w:rPr>
          <w:rFonts w:cs="Adobe Garamond Pro"/>
          <w:color w:val="000000"/>
          <w:sz w:val="23"/>
          <w:szCs w:val="23"/>
        </w:rPr>
        <w:t>deconstruint</w:t>
      </w:r>
      <w:proofErr w:type="spellEnd"/>
      <w:r w:rsidR="005759A6">
        <w:rPr>
          <w:rFonts w:cs="Adobe Garamond Pro"/>
          <w:color w:val="000000"/>
          <w:sz w:val="23"/>
          <w:szCs w:val="23"/>
        </w:rPr>
        <w:t xml:space="preserve"> la idea del turista, a</w:t>
      </w:r>
      <w:r>
        <w:rPr>
          <w:rFonts w:cs="Adobe Garamond Pro"/>
          <w:color w:val="000000"/>
          <w:sz w:val="23"/>
          <w:szCs w:val="23"/>
        </w:rPr>
        <w:t xml:space="preserve">questa percepció sembla que ha provocat reaccions d’experts del turisme, que diuen que, encara que sovint està motivat per qüestions econòmiques, també plantegen un compromís cultural i polític complex amb el patrimoni. </w:t>
      </w:r>
    </w:p>
    <w:p w:rsidR="005759A6" w:rsidRDefault="005759A6" w:rsidP="007E2CF3">
      <w:pPr>
        <w:spacing w:after="0" w:line="360" w:lineRule="auto"/>
        <w:ind w:firstLine="708"/>
        <w:jc w:val="both"/>
        <w:rPr>
          <w:rFonts w:cs="Adobe Garamond Pro"/>
          <w:color w:val="000000"/>
          <w:sz w:val="23"/>
          <w:szCs w:val="23"/>
        </w:rPr>
      </w:pPr>
      <w:r>
        <w:rPr>
          <w:rFonts w:cs="Adobe Garamond Pro"/>
          <w:color w:val="000000"/>
          <w:sz w:val="23"/>
          <w:szCs w:val="23"/>
        </w:rPr>
        <w:t>En la nostra comunicació analitzem tant els conflictes del fenomen turístic</w:t>
      </w:r>
      <w:r w:rsidR="007E2CF3">
        <w:rPr>
          <w:rFonts w:cs="Adobe Garamond Pro"/>
          <w:color w:val="000000"/>
          <w:sz w:val="23"/>
          <w:szCs w:val="23"/>
        </w:rPr>
        <w:t xml:space="preserve">, com aquelles sinèrgies que </w:t>
      </w:r>
      <w:r>
        <w:rPr>
          <w:rFonts w:cs="Adobe Garamond Pro"/>
          <w:color w:val="000000"/>
          <w:sz w:val="23"/>
          <w:szCs w:val="23"/>
        </w:rPr>
        <w:t>s’han generat en els últims temps al voltant dels Pelegrins de les Useres</w:t>
      </w:r>
      <w:r w:rsidR="007E2CF3">
        <w:rPr>
          <w:rFonts w:cs="Adobe Garamond Pro"/>
          <w:color w:val="000000"/>
          <w:sz w:val="23"/>
          <w:szCs w:val="23"/>
        </w:rPr>
        <w:t xml:space="preserve">. </w:t>
      </w:r>
      <w:r w:rsidR="007E2CF3">
        <w:rPr>
          <w:rFonts w:ascii="Calibri" w:eastAsia="Calibri" w:hAnsi="Calibri" w:cs="Times New Roman"/>
          <w:sz w:val="24"/>
          <w:szCs w:val="24"/>
          <w:lang w:val="ca-ES"/>
        </w:rPr>
        <w:t>Ens endinsem en aquest camp (</w:t>
      </w:r>
      <w:proofErr w:type="spellStart"/>
      <w:r w:rsidR="007E2CF3">
        <w:rPr>
          <w:rFonts w:ascii="Calibri" w:eastAsia="Calibri" w:hAnsi="Calibri" w:cs="Times New Roman"/>
          <w:sz w:val="24"/>
          <w:szCs w:val="24"/>
          <w:lang w:val="ca-ES"/>
        </w:rPr>
        <w:t>Bordieu</w:t>
      </w:r>
      <w:proofErr w:type="spellEnd"/>
      <w:r w:rsidR="007E2CF3">
        <w:rPr>
          <w:rFonts w:ascii="Calibri" w:eastAsia="Calibri" w:hAnsi="Calibri" w:cs="Times New Roman"/>
          <w:sz w:val="24"/>
          <w:szCs w:val="24"/>
          <w:lang w:val="ca-ES"/>
        </w:rPr>
        <w:t xml:space="preserve">, 1994), a través, d’una </w:t>
      </w:r>
      <w:r w:rsidR="007E2CF3" w:rsidRPr="007E2CF3">
        <w:rPr>
          <w:rFonts w:ascii="Calibri" w:eastAsia="Calibri" w:hAnsi="Calibri" w:cs="Times New Roman"/>
          <w:sz w:val="24"/>
          <w:szCs w:val="24"/>
          <w:lang w:val="ca-ES"/>
        </w:rPr>
        <w:t xml:space="preserve">mirada constructivista, qualitativa i crítica del patrimoni com a procés social o com a construcció social (Prats, 2005; Roigé, </w:t>
      </w:r>
      <w:proofErr w:type="spellStart"/>
      <w:r w:rsidR="007E2CF3" w:rsidRPr="007E2CF3">
        <w:rPr>
          <w:rFonts w:ascii="Calibri" w:eastAsia="Calibri" w:hAnsi="Calibri" w:cs="Times New Roman"/>
          <w:sz w:val="24"/>
          <w:szCs w:val="24"/>
          <w:lang w:val="ca-ES"/>
        </w:rPr>
        <w:t>Frigolé</w:t>
      </w:r>
      <w:proofErr w:type="spellEnd"/>
      <w:r w:rsidR="007E2CF3" w:rsidRPr="007E2CF3">
        <w:rPr>
          <w:rFonts w:ascii="Calibri" w:eastAsia="Calibri" w:hAnsi="Calibri" w:cs="Times New Roman"/>
          <w:sz w:val="24"/>
          <w:szCs w:val="24"/>
          <w:lang w:val="ca-ES"/>
        </w:rPr>
        <w:t xml:space="preserve"> i Del </w:t>
      </w:r>
      <w:proofErr w:type="spellStart"/>
      <w:r w:rsidR="007E2CF3" w:rsidRPr="007E2CF3">
        <w:rPr>
          <w:rFonts w:ascii="Calibri" w:eastAsia="Calibri" w:hAnsi="Calibri" w:cs="Times New Roman"/>
          <w:sz w:val="24"/>
          <w:szCs w:val="24"/>
          <w:lang w:val="ca-ES"/>
        </w:rPr>
        <w:t>Mármol</w:t>
      </w:r>
      <w:proofErr w:type="spellEnd"/>
      <w:r w:rsidR="007E2CF3" w:rsidRPr="007E2CF3">
        <w:rPr>
          <w:rFonts w:ascii="Calibri" w:eastAsia="Calibri" w:hAnsi="Calibri" w:cs="Times New Roman"/>
          <w:sz w:val="24"/>
          <w:szCs w:val="24"/>
          <w:lang w:val="ca-ES"/>
        </w:rPr>
        <w:t xml:space="preserve">, 2012; Sánchez-Carretero, 2012; </w:t>
      </w:r>
      <w:proofErr w:type="spellStart"/>
      <w:r w:rsidR="007E2CF3" w:rsidRPr="007E2CF3">
        <w:rPr>
          <w:rFonts w:ascii="Calibri" w:eastAsia="Calibri" w:hAnsi="Calibri" w:cs="Times New Roman"/>
          <w:sz w:val="24"/>
          <w:szCs w:val="24"/>
          <w:lang w:val="ca-ES"/>
        </w:rPr>
        <w:t>Ariño</w:t>
      </w:r>
      <w:proofErr w:type="spellEnd"/>
      <w:r w:rsidR="007E2CF3" w:rsidRPr="007E2CF3">
        <w:rPr>
          <w:rFonts w:ascii="Calibri" w:eastAsia="Calibri" w:hAnsi="Calibri" w:cs="Times New Roman"/>
          <w:sz w:val="24"/>
          <w:szCs w:val="24"/>
          <w:lang w:val="ca-ES"/>
        </w:rPr>
        <w:t xml:space="preserve">, 2002; </w:t>
      </w:r>
      <w:proofErr w:type="spellStart"/>
      <w:r w:rsidR="007E2CF3" w:rsidRPr="007E2CF3">
        <w:rPr>
          <w:rFonts w:ascii="Calibri" w:eastAsia="Calibri" w:hAnsi="Calibri" w:cs="Times New Roman"/>
          <w:sz w:val="24"/>
          <w:szCs w:val="24"/>
          <w:lang w:val="ca-ES"/>
        </w:rPr>
        <w:t>Santamarina</w:t>
      </w:r>
      <w:proofErr w:type="spellEnd"/>
      <w:r w:rsidR="007E2CF3" w:rsidRPr="007E2CF3">
        <w:rPr>
          <w:rFonts w:ascii="Calibri" w:eastAsia="Calibri" w:hAnsi="Calibri" w:cs="Times New Roman"/>
          <w:sz w:val="24"/>
          <w:szCs w:val="24"/>
          <w:lang w:val="ca-ES"/>
        </w:rPr>
        <w:t>, 2012).</w:t>
      </w:r>
      <w:r w:rsidR="007E2CF3">
        <w:rPr>
          <w:rFonts w:cs="Adobe Garamond Pro"/>
          <w:color w:val="000000"/>
          <w:sz w:val="23"/>
          <w:szCs w:val="23"/>
        </w:rPr>
        <w:t xml:space="preserve"> Ho hem fet a través </w:t>
      </w:r>
      <w:r>
        <w:rPr>
          <w:rFonts w:cs="Adobe Garamond Pro"/>
          <w:color w:val="000000"/>
          <w:sz w:val="23"/>
          <w:szCs w:val="23"/>
        </w:rPr>
        <w:t>de l’anàlisi del</w:t>
      </w:r>
      <w:r w:rsidR="007E2CF3">
        <w:rPr>
          <w:rFonts w:cs="Adobe Garamond Pro"/>
          <w:color w:val="000000"/>
          <w:sz w:val="23"/>
          <w:szCs w:val="23"/>
        </w:rPr>
        <w:t xml:space="preserve">s diferents discursos tant dels autòctons (pelegrins) com d’aquells </w:t>
      </w:r>
      <w:proofErr w:type="spellStart"/>
      <w:r w:rsidR="007E2CF3">
        <w:rPr>
          <w:rFonts w:cs="Adobe Garamond Pro"/>
          <w:color w:val="000000"/>
          <w:sz w:val="23"/>
          <w:szCs w:val="23"/>
        </w:rPr>
        <w:t>quí</w:t>
      </w:r>
      <w:proofErr w:type="spellEnd"/>
      <w:r w:rsidR="007E2CF3">
        <w:rPr>
          <w:rFonts w:cs="Adobe Garamond Pro"/>
          <w:color w:val="000000"/>
          <w:sz w:val="23"/>
          <w:szCs w:val="23"/>
        </w:rPr>
        <w:t xml:space="preserve"> sense ser de les Useres, s’han identificat amb els </w:t>
      </w:r>
      <w:proofErr w:type="spellStart"/>
      <w:r w:rsidR="007E2CF3">
        <w:rPr>
          <w:rFonts w:cs="Adobe Garamond Pro"/>
          <w:color w:val="000000"/>
          <w:sz w:val="23"/>
          <w:szCs w:val="23"/>
        </w:rPr>
        <w:t>va,ors</w:t>
      </w:r>
      <w:proofErr w:type="spellEnd"/>
      <w:r w:rsidR="007E2CF3">
        <w:rPr>
          <w:rFonts w:cs="Adobe Garamond Pro"/>
          <w:color w:val="000000"/>
          <w:sz w:val="23"/>
          <w:szCs w:val="23"/>
        </w:rPr>
        <w:t xml:space="preserve"> i significats </w:t>
      </w:r>
      <w:proofErr w:type="spellStart"/>
      <w:r w:rsidR="007E2CF3">
        <w:rPr>
          <w:rFonts w:cs="Adobe Garamond Pro"/>
          <w:color w:val="000000"/>
          <w:sz w:val="23"/>
          <w:szCs w:val="23"/>
        </w:rPr>
        <w:t>d’auesta</w:t>
      </w:r>
      <w:proofErr w:type="spellEnd"/>
      <w:r w:rsidR="007E2CF3">
        <w:rPr>
          <w:rFonts w:cs="Adobe Garamond Pro"/>
          <w:color w:val="000000"/>
          <w:sz w:val="23"/>
          <w:szCs w:val="23"/>
        </w:rPr>
        <w:t xml:space="preserve"> peregrinació al Penyagolosa, generant</w:t>
      </w:r>
      <w:r>
        <w:rPr>
          <w:rFonts w:cs="Adobe Garamond Pro"/>
          <w:color w:val="000000"/>
          <w:sz w:val="23"/>
          <w:szCs w:val="23"/>
        </w:rPr>
        <w:t xml:space="preserve"> noves identitats</w:t>
      </w:r>
      <w:r w:rsidR="007E2CF3">
        <w:rPr>
          <w:rFonts w:cs="Adobe Garamond Pro"/>
          <w:color w:val="000000"/>
          <w:sz w:val="23"/>
          <w:szCs w:val="23"/>
        </w:rPr>
        <w:t xml:space="preserve"> </w:t>
      </w:r>
      <w:r>
        <w:rPr>
          <w:rFonts w:cs="Adobe Garamond Pro"/>
          <w:color w:val="000000"/>
          <w:sz w:val="23"/>
          <w:szCs w:val="23"/>
        </w:rPr>
        <w:t xml:space="preserve">per aquells que hem nomenats </w:t>
      </w:r>
      <w:proofErr w:type="spellStart"/>
      <w:r>
        <w:rPr>
          <w:rFonts w:cs="Adobe Garamond Pro"/>
          <w:color w:val="000000"/>
          <w:sz w:val="23"/>
          <w:szCs w:val="23"/>
        </w:rPr>
        <w:t>pseudopelegrins</w:t>
      </w:r>
      <w:proofErr w:type="spellEnd"/>
      <w:r w:rsidR="007E2CF3">
        <w:rPr>
          <w:rFonts w:cs="Adobe Garamond Pro"/>
          <w:color w:val="000000"/>
          <w:sz w:val="23"/>
          <w:szCs w:val="23"/>
        </w:rPr>
        <w:t>.</w:t>
      </w:r>
      <w:r>
        <w:rPr>
          <w:rFonts w:cs="Adobe Garamond Pro"/>
          <w:color w:val="000000"/>
          <w:sz w:val="23"/>
          <w:szCs w:val="23"/>
        </w:rPr>
        <w:t xml:space="preserve"> </w:t>
      </w:r>
    </w:p>
    <w:p w:rsidR="00B309D1" w:rsidRDefault="00B309D1" w:rsidP="00B309D1">
      <w:pPr>
        <w:spacing w:after="0" w:line="360" w:lineRule="auto"/>
        <w:ind w:firstLine="708"/>
        <w:jc w:val="both"/>
        <w:rPr>
          <w:rFonts w:ascii="Calibri" w:eastAsia="Calibri" w:hAnsi="Calibri" w:cs="Times New Roman"/>
          <w:sz w:val="24"/>
          <w:szCs w:val="24"/>
          <w:lang w:val="ca-ES"/>
        </w:rPr>
      </w:pPr>
    </w:p>
    <w:p w:rsidR="00B309D1" w:rsidRDefault="00B309D1" w:rsidP="00B309D1">
      <w:pPr>
        <w:spacing w:after="0" w:line="360" w:lineRule="auto"/>
        <w:ind w:firstLine="708"/>
        <w:jc w:val="both"/>
        <w:rPr>
          <w:rFonts w:ascii="Calibri" w:eastAsia="Calibri" w:hAnsi="Calibri" w:cs="Times New Roman"/>
          <w:sz w:val="24"/>
          <w:szCs w:val="24"/>
          <w:lang w:val="ca-ES"/>
        </w:rPr>
      </w:pPr>
    </w:p>
    <w:p w:rsidR="00B309D1" w:rsidRDefault="00B309D1" w:rsidP="00950702">
      <w:pPr>
        <w:spacing w:after="0" w:line="360" w:lineRule="auto"/>
        <w:ind w:firstLine="708"/>
        <w:jc w:val="both"/>
        <w:rPr>
          <w:rFonts w:cs="Adobe Garamond Pro"/>
          <w:color w:val="000000"/>
          <w:sz w:val="23"/>
          <w:szCs w:val="23"/>
        </w:rPr>
      </w:pPr>
    </w:p>
    <w:p w:rsidR="00950702" w:rsidRPr="00950702" w:rsidRDefault="00950702" w:rsidP="00950702">
      <w:pPr>
        <w:spacing w:after="0" w:line="360" w:lineRule="auto"/>
        <w:ind w:firstLine="708"/>
        <w:jc w:val="both"/>
        <w:rPr>
          <w:rFonts w:ascii="Calibri" w:eastAsia="Calibri" w:hAnsi="Calibri" w:cs="Times New Roman"/>
          <w:lang w:val="ca-ES"/>
        </w:rPr>
      </w:pPr>
    </w:p>
    <w:p w:rsidR="00950702" w:rsidRPr="00950702" w:rsidRDefault="00950702" w:rsidP="00950702">
      <w:pPr>
        <w:spacing w:after="0" w:line="360" w:lineRule="auto"/>
        <w:ind w:firstLine="708"/>
        <w:jc w:val="both"/>
        <w:rPr>
          <w:rFonts w:ascii="Calibri" w:eastAsia="Calibri" w:hAnsi="Calibri" w:cs="Times New Roman"/>
          <w:lang w:val="ca-ES"/>
        </w:rPr>
      </w:pPr>
    </w:p>
    <w:p w:rsidR="00950702" w:rsidRPr="00950702" w:rsidRDefault="00950702" w:rsidP="00950702">
      <w:pPr>
        <w:spacing w:after="0" w:line="360" w:lineRule="auto"/>
        <w:ind w:firstLine="708"/>
        <w:jc w:val="both"/>
        <w:rPr>
          <w:rFonts w:ascii="Calibri" w:eastAsia="Calibri" w:hAnsi="Calibri" w:cs="Times New Roman"/>
          <w:lang w:val="ca-ES"/>
        </w:rPr>
      </w:pPr>
    </w:p>
    <w:p w:rsidR="00024E6A" w:rsidRDefault="00024E6A"/>
    <w:sectPr w:rsidR="00024E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F30"/>
    <w:rsid w:val="00024E6A"/>
    <w:rsid w:val="005759A6"/>
    <w:rsid w:val="007E2CF3"/>
    <w:rsid w:val="00950702"/>
    <w:rsid w:val="00B309D1"/>
    <w:rsid w:val="00CB00FA"/>
    <w:rsid w:val="00F1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2B71F"/>
  <w15:chartTrackingRefBased/>
  <w15:docId w15:val="{B786B97A-ADCF-4327-8E84-CE2643D09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ca-ES-valenc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ELISEO</dc:creator>
  <cp:keywords/>
  <dc:description/>
  <cp:lastModifiedBy>ELISEO</cp:lastModifiedBy>
  <cp:revision>2</cp:revision>
  <dcterms:created xsi:type="dcterms:W3CDTF">2016-10-14T07:20:00Z</dcterms:created>
  <dcterms:modified xsi:type="dcterms:W3CDTF">2016-10-14T08:15:00Z</dcterms:modified>
</cp:coreProperties>
</file>