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35" w:rsidRDefault="00D41C35" w:rsidP="00D41C35">
      <w:pPr>
        <w:rPr>
          <w:rFonts w:cs="Calibri"/>
          <w:sz w:val="24"/>
          <w:szCs w:val="24"/>
        </w:rPr>
      </w:pPr>
      <w:r w:rsidRPr="000C3413">
        <w:rPr>
          <w:rFonts w:cs="Calibri"/>
          <w:iCs/>
          <w:sz w:val="24"/>
          <w:szCs w:val="24"/>
        </w:rPr>
        <w:t xml:space="preserve">Palabras Clave: </w:t>
      </w:r>
      <w:r w:rsidRPr="000C3413">
        <w:rPr>
          <w:rFonts w:cs="Calibri"/>
          <w:sz w:val="24"/>
          <w:szCs w:val="24"/>
        </w:rPr>
        <w:t>Danza I</w:t>
      </w:r>
      <w:r>
        <w:rPr>
          <w:rFonts w:cs="Calibri"/>
          <w:sz w:val="24"/>
          <w:szCs w:val="24"/>
        </w:rPr>
        <w:t>ntegrada, Inclusión, Diversidad funcional</w:t>
      </w:r>
      <w:r w:rsidRPr="000C3413">
        <w:rPr>
          <w:rFonts w:cs="Calibri"/>
          <w:sz w:val="24"/>
          <w:szCs w:val="24"/>
        </w:rPr>
        <w:t xml:space="preserve"> </w:t>
      </w:r>
    </w:p>
    <w:p w:rsidR="00D41C35" w:rsidRPr="000C3413" w:rsidRDefault="00D41C35" w:rsidP="00D41C35">
      <w:pPr>
        <w:rPr>
          <w:rFonts w:cs="Calibri"/>
          <w:sz w:val="24"/>
          <w:szCs w:val="24"/>
        </w:rPr>
      </w:pPr>
      <w:r w:rsidRPr="000C3413">
        <w:rPr>
          <w:rFonts w:cs="Calibri"/>
          <w:sz w:val="24"/>
          <w:szCs w:val="24"/>
        </w:rPr>
        <w:t xml:space="preserve">Desde una perspectiva crítica, artística, social y cultural tratamos la inclusión de personas con diversidad </w:t>
      </w:r>
      <w:r>
        <w:rPr>
          <w:rFonts w:cs="Calibri"/>
          <w:sz w:val="24"/>
          <w:szCs w:val="24"/>
        </w:rPr>
        <w:t xml:space="preserve">funcional </w:t>
      </w:r>
      <w:r w:rsidRPr="000C3413">
        <w:rPr>
          <w:rFonts w:cs="Calibri"/>
          <w:sz w:val="24"/>
          <w:szCs w:val="24"/>
        </w:rPr>
        <w:t xml:space="preserve">en el ámbito de la creación en danza y el cambio de paradigma estético que ello representa en el arte actual. </w:t>
      </w:r>
    </w:p>
    <w:p w:rsidR="00D41C35" w:rsidRPr="000C3413" w:rsidRDefault="00D41C35" w:rsidP="00D41C35">
      <w:pPr>
        <w:rPr>
          <w:rFonts w:cs="Calibri"/>
          <w:sz w:val="24"/>
          <w:szCs w:val="24"/>
        </w:rPr>
      </w:pPr>
      <w:r w:rsidRPr="000C3413">
        <w:rPr>
          <w:rFonts w:cs="Calibri"/>
          <w:sz w:val="24"/>
          <w:szCs w:val="24"/>
        </w:rPr>
        <w:t xml:space="preserve">Objetivos. Analizar cómo la entrada en las artes escénicas de cuerpos tradicionalmente nombrados </w:t>
      </w:r>
      <w:proofErr w:type="spellStart"/>
      <w:r w:rsidRPr="000C3413">
        <w:rPr>
          <w:rFonts w:cs="Calibri"/>
          <w:i/>
          <w:sz w:val="24"/>
          <w:szCs w:val="24"/>
        </w:rPr>
        <w:t>discapaces</w:t>
      </w:r>
      <w:proofErr w:type="spellEnd"/>
      <w:r w:rsidRPr="000C3413">
        <w:rPr>
          <w:rFonts w:cs="Calibri"/>
          <w:sz w:val="24"/>
          <w:szCs w:val="24"/>
        </w:rPr>
        <w:t xml:space="preserve"> puede subvertir el carácter normalizador y sublimatorio que éstas han tenido con respecto a los modelos de cuerpo y demostrar cómo la Danza Integrada en la que participan personas con y sin diversidad funcional, desde un paradigma inclusivo, colabora en la deconstrucción del cuerpo homogéneo y en la renovación de la mirada sobre el arte escénico. </w:t>
      </w:r>
    </w:p>
    <w:p w:rsidR="00D41C35" w:rsidRPr="000C3413" w:rsidRDefault="00D41C35" w:rsidP="00D41C35">
      <w:pPr>
        <w:tabs>
          <w:tab w:val="left" w:pos="285"/>
        </w:tabs>
        <w:spacing w:after="198"/>
        <w:jc w:val="both"/>
        <w:rPr>
          <w:rFonts w:cs="Calibri"/>
          <w:color w:val="000000"/>
          <w:sz w:val="24"/>
          <w:szCs w:val="24"/>
        </w:rPr>
      </w:pPr>
      <w:r w:rsidRPr="000C3413">
        <w:rPr>
          <w:rFonts w:cs="Calibri"/>
          <w:sz w:val="24"/>
          <w:szCs w:val="24"/>
        </w:rPr>
        <w:t>Es una investigación teórico-b</w:t>
      </w:r>
      <w:r>
        <w:rPr>
          <w:rFonts w:cs="Calibri"/>
          <w:sz w:val="24"/>
          <w:szCs w:val="24"/>
        </w:rPr>
        <w:t xml:space="preserve">iográfica de carácter empírico e interdisciplinar, </w:t>
      </w:r>
      <w:r w:rsidRPr="000C3413">
        <w:rPr>
          <w:rFonts w:cs="Calibri"/>
          <w:sz w:val="24"/>
          <w:szCs w:val="24"/>
        </w:rPr>
        <w:t xml:space="preserve">en la que se emplean herramientas dialécticas, desde una </w:t>
      </w:r>
      <w:r w:rsidRPr="000C3413">
        <w:rPr>
          <w:rFonts w:cs="Calibri"/>
          <w:color w:val="000000"/>
          <w:sz w:val="24"/>
          <w:szCs w:val="24"/>
        </w:rPr>
        <w:t xml:space="preserve">aproximación cualitativa. </w:t>
      </w:r>
    </w:p>
    <w:p w:rsidR="00D41C35" w:rsidRPr="000C3413" w:rsidRDefault="00D41C35" w:rsidP="00D41C35">
      <w:pPr>
        <w:tabs>
          <w:tab w:val="left" w:pos="285"/>
        </w:tabs>
        <w:spacing w:after="198"/>
        <w:jc w:val="both"/>
        <w:rPr>
          <w:rFonts w:cs="Calibri"/>
          <w:sz w:val="24"/>
          <w:szCs w:val="24"/>
        </w:rPr>
      </w:pPr>
      <w:r w:rsidRPr="000C3413">
        <w:rPr>
          <w:rFonts w:cs="Calibri"/>
          <w:sz w:val="24"/>
          <w:szCs w:val="24"/>
        </w:rPr>
        <w:t xml:space="preserve">Conclusiones. </w:t>
      </w:r>
      <w:r>
        <w:rPr>
          <w:rFonts w:cs="Calibri"/>
          <w:sz w:val="24"/>
          <w:szCs w:val="24"/>
        </w:rPr>
        <w:t>Localizamos</w:t>
      </w:r>
      <w:r w:rsidRPr="000C3413">
        <w:rPr>
          <w:rFonts w:cs="Calibri"/>
          <w:sz w:val="24"/>
          <w:szCs w:val="24"/>
        </w:rPr>
        <w:t xml:space="preserve"> la Danza Integrada dentro de las Artes </w:t>
      </w:r>
      <w:r>
        <w:rPr>
          <w:rFonts w:cs="Calibri"/>
          <w:sz w:val="24"/>
          <w:szCs w:val="24"/>
        </w:rPr>
        <w:t>Escénicas,</w:t>
      </w:r>
      <w:r w:rsidRPr="000C3413">
        <w:rPr>
          <w:rFonts w:cs="Calibri"/>
          <w:sz w:val="24"/>
          <w:szCs w:val="24"/>
        </w:rPr>
        <w:t xml:space="preserve"> demostrando cómo ha sido pionera en las prácticas que activan los modelos de inclusión en e</w:t>
      </w:r>
      <w:r>
        <w:rPr>
          <w:rFonts w:cs="Calibri"/>
          <w:sz w:val="24"/>
          <w:szCs w:val="24"/>
        </w:rPr>
        <w:t xml:space="preserve">l ámbito artístico y educativo, </w:t>
      </w:r>
      <w:r w:rsidRPr="000C3413">
        <w:rPr>
          <w:rFonts w:cs="Calibri"/>
          <w:iCs/>
          <w:sz w:val="24"/>
          <w:szCs w:val="24"/>
        </w:rPr>
        <w:t xml:space="preserve">alejándola de los ámbitos terapéuticos o exclusivamente sociales. </w:t>
      </w:r>
      <w:r w:rsidRPr="000C3413">
        <w:rPr>
          <w:rFonts w:cs="Calibri"/>
          <w:sz w:val="24"/>
          <w:szCs w:val="24"/>
        </w:rPr>
        <w:t xml:space="preserve">Concluimos que los procesos y artistas que desde metodologías inclusivas utilizan la diferencia como motor de creación, son productores de </w:t>
      </w:r>
      <w:r>
        <w:rPr>
          <w:rFonts w:cs="Calibri"/>
          <w:sz w:val="24"/>
          <w:szCs w:val="24"/>
        </w:rPr>
        <w:t>un discurso</w:t>
      </w:r>
      <w:r w:rsidRPr="000C3413">
        <w:rPr>
          <w:rFonts w:cs="Calibri"/>
          <w:sz w:val="24"/>
          <w:szCs w:val="24"/>
        </w:rPr>
        <w:t xml:space="preserve"> capaz de desestabilizar las miradas que confinan al cuerpo y a las personas en lugares fijos. </w:t>
      </w:r>
      <w:r>
        <w:rPr>
          <w:rFonts w:cs="Calibri"/>
          <w:sz w:val="24"/>
          <w:szCs w:val="24"/>
        </w:rPr>
        <w:t>P</w:t>
      </w:r>
      <w:r w:rsidRPr="000C3413">
        <w:rPr>
          <w:rFonts w:cs="Calibri"/>
          <w:sz w:val="24"/>
          <w:szCs w:val="24"/>
        </w:rPr>
        <w:t xml:space="preserve">lanteamos la necesidad de una educación pública de las artes en sistemas inclusivos que permita a las personas con diversidad optar al estudio de la danza y artes escénicas. </w:t>
      </w:r>
    </w:p>
    <w:p w:rsidR="00D41C35" w:rsidRPr="00D41C35" w:rsidRDefault="00D41C35" w:rsidP="00D41C35">
      <w:pPr>
        <w:tabs>
          <w:tab w:val="left" w:pos="285"/>
        </w:tabs>
        <w:spacing w:after="198"/>
        <w:jc w:val="both"/>
        <w:rPr>
          <w:rFonts w:cs="Calibri"/>
          <w:sz w:val="24"/>
          <w:szCs w:val="24"/>
          <w:lang w:val="en-US"/>
        </w:rPr>
      </w:pPr>
      <w:proofErr w:type="spellStart"/>
      <w:r>
        <w:rPr>
          <w:rFonts w:cs="Calibri"/>
          <w:sz w:val="24"/>
          <w:szCs w:val="24"/>
          <w:lang w:val="en-US"/>
        </w:rPr>
        <w:t>Referencias</w:t>
      </w:r>
      <w:proofErr w:type="spellEnd"/>
    </w:p>
    <w:p w:rsidR="00D41C35" w:rsidRPr="00D41C35" w:rsidRDefault="00D41C35" w:rsidP="00D41C35">
      <w:pPr>
        <w:pStyle w:val="Prrafodelista3"/>
        <w:spacing w:after="198"/>
        <w:ind w:left="0"/>
        <w:jc w:val="both"/>
        <w:rPr>
          <w:rFonts w:cs="Calibri"/>
          <w:sz w:val="24"/>
          <w:szCs w:val="24"/>
          <w:lang w:val="en-US"/>
        </w:rPr>
      </w:pPr>
      <w:r w:rsidRPr="000C3413">
        <w:rPr>
          <w:rFonts w:cs="Calibri"/>
          <w:sz w:val="24"/>
          <w:szCs w:val="24"/>
          <w:lang w:val="en-GB"/>
        </w:rPr>
        <w:t xml:space="preserve">Benjamin, A. (2002). </w:t>
      </w:r>
      <w:proofErr w:type="gramStart"/>
      <w:r w:rsidRPr="000C3413">
        <w:rPr>
          <w:rFonts w:cs="Calibri"/>
          <w:i/>
          <w:sz w:val="24"/>
          <w:szCs w:val="24"/>
          <w:lang w:val="en-GB"/>
        </w:rPr>
        <w:t>Making an Entrance</w:t>
      </w:r>
      <w:r w:rsidRPr="000C3413">
        <w:rPr>
          <w:rFonts w:cs="Calibri"/>
          <w:sz w:val="24"/>
          <w:szCs w:val="24"/>
          <w:lang w:val="en-GB"/>
        </w:rPr>
        <w:t>.</w:t>
      </w:r>
      <w:proofErr w:type="gramEnd"/>
      <w:r w:rsidRPr="000C3413">
        <w:rPr>
          <w:rFonts w:cs="Calibri"/>
          <w:sz w:val="24"/>
          <w:szCs w:val="24"/>
          <w:lang w:val="en-GB"/>
        </w:rPr>
        <w:t xml:space="preserve"> </w:t>
      </w:r>
      <w:proofErr w:type="spellStart"/>
      <w:r w:rsidRPr="00D41C35">
        <w:rPr>
          <w:rFonts w:cs="Calibri"/>
          <w:sz w:val="24"/>
          <w:szCs w:val="24"/>
          <w:lang w:val="en-US"/>
        </w:rPr>
        <w:t>Londres</w:t>
      </w:r>
      <w:proofErr w:type="spellEnd"/>
      <w:r w:rsidRPr="00D41C35">
        <w:rPr>
          <w:rFonts w:cs="Calibri"/>
          <w:sz w:val="24"/>
          <w:szCs w:val="24"/>
          <w:lang w:val="en-US"/>
        </w:rPr>
        <w:t xml:space="preserve">: </w:t>
      </w:r>
      <w:proofErr w:type="spellStart"/>
      <w:r w:rsidRPr="00D41C35">
        <w:rPr>
          <w:rFonts w:cs="Calibri"/>
          <w:sz w:val="24"/>
          <w:szCs w:val="24"/>
          <w:lang w:val="en-US"/>
        </w:rPr>
        <w:t>Routledge</w:t>
      </w:r>
      <w:proofErr w:type="spellEnd"/>
      <w:r w:rsidRPr="00D41C35">
        <w:rPr>
          <w:rFonts w:cs="Calibri"/>
          <w:sz w:val="24"/>
          <w:szCs w:val="24"/>
          <w:lang w:val="en-US"/>
        </w:rPr>
        <w:t>.</w:t>
      </w:r>
    </w:p>
    <w:p w:rsidR="00D41C35" w:rsidRPr="000C3413" w:rsidRDefault="00D41C35" w:rsidP="00D41C35">
      <w:pPr>
        <w:tabs>
          <w:tab w:val="left" w:pos="285"/>
        </w:tabs>
        <w:spacing w:after="198"/>
        <w:jc w:val="both"/>
        <w:rPr>
          <w:rFonts w:cs="Calibri"/>
          <w:color w:val="000000"/>
          <w:sz w:val="24"/>
          <w:szCs w:val="24"/>
          <w:lang w:val="en-US"/>
        </w:rPr>
      </w:pPr>
      <w:r w:rsidRPr="000C3413">
        <w:rPr>
          <w:rFonts w:cs="Calibri"/>
          <w:color w:val="000000"/>
          <w:sz w:val="24"/>
          <w:szCs w:val="24"/>
          <w:lang w:val="en-GB"/>
        </w:rPr>
        <w:t xml:space="preserve">Cooper Albright, A. (1997). </w:t>
      </w:r>
      <w:proofErr w:type="gramStart"/>
      <w:r w:rsidRPr="000C3413">
        <w:rPr>
          <w:rFonts w:cs="Calibri"/>
          <w:i/>
          <w:iCs/>
          <w:color w:val="000000"/>
          <w:sz w:val="24"/>
          <w:szCs w:val="24"/>
          <w:lang w:val="en-GB"/>
        </w:rPr>
        <w:t>Choreographing Difference</w:t>
      </w:r>
      <w:r w:rsidRPr="000C3413">
        <w:rPr>
          <w:rFonts w:cs="Calibri"/>
          <w:color w:val="000000"/>
          <w:sz w:val="24"/>
          <w:szCs w:val="24"/>
          <w:lang w:val="en-GB"/>
        </w:rPr>
        <w:t>.</w:t>
      </w:r>
      <w:proofErr w:type="gramEnd"/>
      <w:r w:rsidRPr="000C3413">
        <w:rPr>
          <w:rFonts w:cs="Calibri"/>
          <w:color w:val="000000"/>
          <w:sz w:val="24"/>
          <w:szCs w:val="24"/>
          <w:lang w:val="en-GB"/>
        </w:rPr>
        <w:t xml:space="preserve"> New England: Wesleyan University Press.</w:t>
      </w:r>
    </w:p>
    <w:p w:rsidR="00D41C35" w:rsidRPr="000C3413" w:rsidRDefault="00D41C35" w:rsidP="00D41C35">
      <w:pPr>
        <w:rPr>
          <w:sz w:val="24"/>
          <w:szCs w:val="24"/>
        </w:rPr>
      </w:pPr>
      <w:r w:rsidRPr="000C3413">
        <w:rPr>
          <w:sz w:val="24"/>
          <w:szCs w:val="24"/>
        </w:rPr>
        <w:t xml:space="preserve">Foster, H. (2001). </w:t>
      </w:r>
      <w:r w:rsidRPr="000C3413">
        <w:rPr>
          <w:i/>
          <w:iCs/>
          <w:sz w:val="24"/>
          <w:szCs w:val="24"/>
        </w:rPr>
        <w:t xml:space="preserve">El Retorno de lo Real. La vanguardia a finales de Siglo. </w:t>
      </w:r>
      <w:r w:rsidRPr="000C3413">
        <w:rPr>
          <w:sz w:val="24"/>
          <w:szCs w:val="24"/>
        </w:rPr>
        <w:t xml:space="preserve">Madrid: </w:t>
      </w:r>
      <w:proofErr w:type="spellStart"/>
      <w:r w:rsidRPr="000C3413">
        <w:rPr>
          <w:sz w:val="24"/>
          <w:szCs w:val="24"/>
        </w:rPr>
        <w:t>Akal</w:t>
      </w:r>
      <w:proofErr w:type="spellEnd"/>
      <w:r w:rsidRPr="000C3413">
        <w:rPr>
          <w:sz w:val="24"/>
          <w:szCs w:val="24"/>
        </w:rPr>
        <w:t>.</w:t>
      </w:r>
    </w:p>
    <w:p w:rsidR="00D41C35" w:rsidRPr="000C3413" w:rsidRDefault="00D41C35" w:rsidP="00D41C35">
      <w:pPr>
        <w:tabs>
          <w:tab w:val="left" w:pos="285"/>
        </w:tabs>
        <w:spacing w:after="198"/>
        <w:jc w:val="both"/>
        <w:rPr>
          <w:rFonts w:cs="Calibri"/>
          <w:iCs/>
          <w:color w:val="000000"/>
          <w:sz w:val="24"/>
          <w:szCs w:val="24"/>
        </w:rPr>
      </w:pPr>
      <w:r w:rsidRPr="000C3413">
        <w:rPr>
          <w:rFonts w:cs="Calibri"/>
          <w:color w:val="000000"/>
          <w:sz w:val="24"/>
          <w:szCs w:val="24"/>
        </w:rPr>
        <w:t xml:space="preserve">Foucault, M. (1976). </w:t>
      </w:r>
      <w:r w:rsidRPr="000C3413">
        <w:rPr>
          <w:rFonts w:cs="Calibri"/>
          <w:i/>
          <w:color w:val="000000"/>
          <w:sz w:val="24"/>
          <w:szCs w:val="24"/>
        </w:rPr>
        <w:t>Vigilar y castigar</w:t>
      </w:r>
      <w:r w:rsidRPr="000C3413">
        <w:rPr>
          <w:rFonts w:cs="Calibri"/>
          <w:iCs/>
          <w:color w:val="000000"/>
          <w:sz w:val="24"/>
          <w:szCs w:val="24"/>
        </w:rPr>
        <w:t>. Madrid: Siglo XXI.</w:t>
      </w:r>
    </w:p>
    <w:p w:rsidR="00D41C35" w:rsidRPr="000C3413" w:rsidRDefault="00D41C35" w:rsidP="00D41C35">
      <w:pPr>
        <w:tabs>
          <w:tab w:val="left" w:pos="285"/>
        </w:tabs>
        <w:autoSpaceDE w:val="0"/>
        <w:spacing w:after="198"/>
        <w:jc w:val="both"/>
        <w:rPr>
          <w:rFonts w:cs="Calibri"/>
          <w:sz w:val="24"/>
          <w:szCs w:val="24"/>
          <w:lang w:val="en-US"/>
        </w:rPr>
      </w:pPr>
      <w:proofErr w:type="spellStart"/>
      <w:r w:rsidRPr="000C3413">
        <w:rPr>
          <w:rFonts w:cs="Calibri"/>
          <w:sz w:val="24"/>
          <w:szCs w:val="24"/>
          <w:lang w:val="en-US"/>
        </w:rPr>
        <w:t>Kuppers</w:t>
      </w:r>
      <w:proofErr w:type="spellEnd"/>
      <w:r w:rsidRPr="000C3413">
        <w:rPr>
          <w:rFonts w:cs="Calibri"/>
          <w:sz w:val="24"/>
          <w:szCs w:val="24"/>
          <w:lang w:val="en-US"/>
        </w:rPr>
        <w:t xml:space="preserve">, P. (2013). </w:t>
      </w:r>
      <w:r w:rsidRPr="000C3413">
        <w:rPr>
          <w:rFonts w:cs="Calibri"/>
          <w:i/>
          <w:sz w:val="24"/>
          <w:szCs w:val="24"/>
          <w:lang w:val="en-US"/>
        </w:rPr>
        <w:t xml:space="preserve">Disability Culture and Community </w:t>
      </w:r>
      <w:proofErr w:type="spellStart"/>
      <w:r w:rsidRPr="000C3413">
        <w:rPr>
          <w:rFonts w:cs="Calibri"/>
          <w:i/>
          <w:sz w:val="24"/>
          <w:szCs w:val="24"/>
          <w:lang w:val="en-US"/>
        </w:rPr>
        <w:t>Performance.</w:t>
      </w:r>
      <w:r w:rsidRPr="000C3413">
        <w:rPr>
          <w:rFonts w:cs="Calibri"/>
          <w:sz w:val="24"/>
          <w:szCs w:val="24"/>
          <w:lang w:val="en-US"/>
        </w:rPr>
        <w:t>Hampshire</w:t>
      </w:r>
      <w:proofErr w:type="spellEnd"/>
      <w:r w:rsidRPr="000C3413">
        <w:rPr>
          <w:rFonts w:cs="Calibri"/>
          <w:sz w:val="24"/>
          <w:szCs w:val="24"/>
          <w:lang w:val="en-US"/>
        </w:rPr>
        <w:t>: Palgrave Macmillan.</w:t>
      </w:r>
    </w:p>
    <w:p w:rsidR="00034EEB" w:rsidRPr="00D41C35" w:rsidRDefault="00034EEB">
      <w:pPr>
        <w:rPr>
          <w:lang w:val="en-US"/>
        </w:rPr>
      </w:pPr>
    </w:p>
    <w:sectPr w:rsidR="00034EEB" w:rsidRPr="00D41C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96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D41C35"/>
    <w:rsid w:val="00034EEB"/>
    <w:rsid w:val="00D4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3">
    <w:name w:val="Párrafo de lista3"/>
    <w:basedOn w:val="Normal"/>
    <w:rsid w:val="00D41C35"/>
    <w:pPr>
      <w:suppressAutoHyphens/>
      <w:ind w:left="720"/>
    </w:pPr>
    <w:rPr>
      <w:rFonts w:ascii="Calibri" w:eastAsia="SimSun" w:hAnsi="Calibri" w:cs="font39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</dc:creator>
  <cp:keywords/>
  <dc:description/>
  <cp:lastModifiedBy>Marisa</cp:lastModifiedBy>
  <cp:revision>2</cp:revision>
  <dcterms:created xsi:type="dcterms:W3CDTF">2016-10-13T19:56:00Z</dcterms:created>
  <dcterms:modified xsi:type="dcterms:W3CDTF">2016-10-13T20:06:00Z</dcterms:modified>
</cp:coreProperties>
</file>