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EAD" w:rsidRPr="0068406E" w:rsidRDefault="00751EAD" w:rsidP="00751EAD">
      <w:pPr>
        <w:pStyle w:val="Ttulo1"/>
        <w:jc w:val="both"/>
        <w:rPr>
          <w:rFonts w:asciiTheme="minorHAnsi" w:hAnsiTheme="minorHAnsi"/>
          <w:b w:val="0"/>
          <w:sz w:val="24"/>
          <w:szCs w:val="24"/>
        </w:rPr>
      </w:pPr>
      <w:r>
        <w:rPr>
          <w:rFonts w:asciiTheme="minorHAnsi" w:hAnsiTheme="minorHAnsi"/>
          <w:sz w:val="24"/>
          <w:szCs w:val="24"/>
        </w:rPr>
        <w:t xml:space="preserve">CONGRESO: </w:t>
      </w:r>
      <w:r w:rsidRPr="0068406E">
        <w:rPr>
          <w:rFonts w:asciiTheme="minorHAnsi" w:hAnsiTheme="minorHAnsi"/>
          <w:b w:val="0"/>
          <w:sz w:val="24"/>
          <w:szCs w:val="24"/>
        </w:rPr>
        <w:t>XIV Congreso de Antropología.</w:t>
      </w:r>
      <w:r>
        <w:rPr>
          <w:rFonts w:asciiTheme="minorHAnsi" w:hAnsiTheme="minorHAnsi"/>
          <w:sz w:val="24"/>
          <w:szCs w:val="24"/>
        </w:rPr>
        <w:t xml:space="preserve"> </w:t>
      </w:r>
      <w:r w:rsidRPr="0068406E">
        <w:rPr>
          <w:rFonts w:asciiTheme="minorHAnsi" w:hAnsiTheme="minorHAnsi"/>
          <w:b w:val="0"/>
          <w:sz w:val="24"/>
          <w:szCs w:val="24"/>
        </w:rPr>
        <w:t>Antropología en transformación: sentidos, compromisos y utopías. Valencia 5-8 de septiembre de 2017.</w:t>
      </w:r>
    </w:p>
    <w:p w:rsidR="00751EAD" w:rsidRDefault="00751EAD" w:rsidP="00751EAD">
      <w:pPr>
        <w:pStyle w:val="Ttulo1"/>
        <w:jc w:val="both"/>
        <w:rPr>
          <w:rFonts w:asciiTheme="minorHAnsi" w:hAnsiTheme="minorHAnsi"/>
          <w:b w:val="0"/>
          <w:sz w:val="24"/>
          <w:szCs w:val="24"/>
        </w:rPr>
      </w:pPr>
      <w:r>
        <w:rPr>
          <w:rFonts w:asciiTheme="minorHAnsi" w:hAnsiTheme="minorHAnsi"/>
          <w:sz w:val="24"/>
          <w:szCs w:val="24"/>
        </w:rPr>
        <w:t>SIMPOSIO</w:t>
      </w:r>
      <w:r w:rsidRPr="00F24D6B">
        <w:rPr>
          <w:rFonts w:asciiTheme="minorHAnsi" w:hAnsiTheme="minorHAnsi"/>
          <w:sz w:val="24"/>
          <w:szCs w:val="24"/>
        </w:rPr>
        <w:t>:</w:t>
      </w:r>
      <w:r w:rsidRPr="00F24D6B">
        <w:rPr>
          <w:rFonts w:asciiTheme="minorHAnsi" w:hAnsiTheme="minorHAnsi"/>
          <w:b w:val="0"/>
          <w:sz w:val="24"/>
          <w:szCs w:val="24"/>
        </w:rPr>
        <w:t xml:space="preserve"> </w:t>
      </w:r>
      <w:r w:rsidRPr="00751EAD">
        <w:rPr>
          <w:rFonts w:asciiTheme="minorHAnsi" w:hAnsiTheme="minorHAnsi"/>
          <w:b w:val="0"/>
          <w:sz w:val="24"/>
          <w:szCs w:val="24"/>
        </w:rPr>
        <w:t>Desigualdades educativas, políticas públicas y etnografía crítica en España</w:t>
      </w:r>
      <w:r>
        <w:rPr>
          <w:rFonts w:asciiTheme="minorHAnsi" w:hAnsiTheme="minorHAnsi"/>
          <w:b w:val="0"/>
          <w:sz w:val="24"/>
          <w:szCs w:val="24"/>
        </w:rPr>
        <w:t>.</w:t>
      </w:r>
    </w:p>
    <w:p w:rsidR="00751EAD" w:rsidRDefault="00751EAD" w:rsidP="00751EAD">
      <w:pPr>
        <w:pStyle w:val="Ttulo1"/>
        <w:jc w:val="both"/>
        <w:rPr>
          <w:rFonts w:asciiTheme="minorHAnsi" w:hAnsiTheme="minorHAnsi"/>
          <w:b w:val="0"/>
          <w:sz w:val="24"/>
          <w:szCs w:val="24"/>
        </w:rPr>
      </w:pPr>
      <w:r w:rsidRPr="00F24D6B">
        <w:rPr>
          <w:rFonts w:asciiTheme="minorHAnsi" w:hAnsiTheme="minorHAnsi"/>
          <w:sz w:val="24"/>
          <w:szCs w:val="24"/>
        </w:rPr>
        <w:t>T</w:t>
      </w:r>
      <w:r>
        <w:rPr>
          <w:rFonts w:asciiTheme="minorHAnsi" w:hAnsiTheme="minorHAnsi"/>
          <w:sz w:val="24"/>
          <w:szCs w:val="24"/>
        </w:rPr>
        <w:t>Í</w:t>
      </w:r>
      <w:r w:rsidRPr="00F24D6B">
        <w:rPr>
          <w:rFonts w:asciiTheme="minorHAnsi" w:hAnsiTheme="minorHAnsi"/>
          <w:sz w:val="24"/>
          <w:szCs w:val="24"/>
        </w:rPr>
        <w:t>TULO</w:t>
      </w:r>
      <w:r>
        <w:rPr>
          <w:rFonts w:asciiTheme="minorHAnsi" w:hAnsiTheme="minorHAnsi"/>
          <w:b w:val="0"/>
          <w:sz w:val="24"/>
          <w:szCs w:val="24"/>
        </w:rPr>
        <w:t xml:space="preserve">: </w:t>
      </w:r>
      <w:r w:rsidR="0088033D" w:rsidRPr="0088033D">
        <w:rPr>
          <w:rFonts w:asciiTheme="minorHAnsi" w:hAnsiTheme="minorHAnsi"/>
          <w:b w:val="0"/>
          <w:sz w:val="24"/>
          <w:szCs w:val="24"/>
        </w:rPr>
        <w:t>Las políticas públicas educativas en la intervención con el niño sordo</w:t>
      </w:r>
      <w:r>
        <w:rPr>
          <w:rFonts w:asciiTheme="minorHAnsi" w:hAnsiTheme="minorHAnsi"/>
          <w:b w:val="0"/>
          <w:sz w:val="24"/>
          <w:szCs w:val="24"/>
        </w:rPr>
        <w:t>.</w:t>
      </w:r>
    </w:p>
    <w:p w:rsidR="00751EAD" w:rsidRDefault="00751EAD" w:rsidP="00751EAD">
      <w:pPr>
        <w:pStyle w:val="Ttulo1"/>
        <w:jc w:val="both"/>
        <w:rPr>
          <w:rFonts w:asciiTheme="minorHAnsi" w:hAnsiTheme="minorHAnsi" w:cs="Arial"/>
          <w:b w:val="0"/>
          <w:sz w:val="24"/>
          <w:szCs w:val="24"/>
        </w:rPr>
      </w:pPr>
      <w:r w:rsidRPr="00F24D6B">
        <w:rPr>
          <w:rFonts w:asciiTheme="minorHAnsi" w:hAnsiTheme="minorHAnsi"/>
          <w:sz w:val="24"/>
          <w:szCs w:val="24"/>
        </w:rPr>
        <w:t>AUTORAS</w:t>
      </w:r>
      <w:r w:rsidRPr="00F24D6B">
        <w:rPr>
          <w:rFonts w:asciiTheme="minorHAnsi" w:hAnsiTheme="minorHAnsi"/>
          <w:b w:val="0"/>
          <w:sz w:val="24"/>
          <w:szCs w:val="24"/>
        </w:rPr>
        <w:t xml:space="preserve">: </w:t>
      </w:r>
      <w:r w:rsidRPr="00F24D6B">
        <w:rPr>
          <w:rFonts w:asciiTheme="minorHAnsi" w:hAnsiTheme="minorHAnsi" w:cs="Arial"/>
          <w:b w:val="0"/>
          <w:sz w:val="24"/>
          <w:szCs w:val="24"/>
        </w:rPr>
        <w:t>Sánchez-Amat</w:t>
      </w:r>
      <w:r w:rsidR="00E86AE2">
        <w:rPr>
          <w:rFonts w:asciiTheme="minorHAnsi" w:hAnsiTheme="minorHAnsi" w:cs="Arial"/>
          <w:b w:val="0"/>
          <w:sz w:val="24"/>
          <w:szCs w:val="24"/>
        </w:rPr>
        <w:t>,</w:t>
      </w:r>
      <w:r w:rsidRPr="00F24D6B">
        <w:rPr>
          <w:rFonts w:asciiTheme="minorHAnsi" w:hAnsiTheme="minorHAnsi" w:cs="Arial"/>
          <w:b w:val="0"/>
          <w:sz w:val="24"/>
          <w:szCs w:val="24"/>
        </w:rPr>
        <w:t xml:space="preserve"> Jordina</w:t>
      </w:r>
      <w:r>
        <w:rPr>
          <w:rFonts w:asciiTheme="minorHAnsi" w:hAnsiTheme="minorHAnsi" w:cs="Arial"/>
          <w:b w:val="0"/>
          <w:sz w:val="24"/>
          <w:szCs w:val="24"/>
        </w:rPr>
        <w:t xml:space="preserve"> (1)</w:t>
      </w:r>
      <w:r w:rsidRPr="00F24D6B">
        <w:rPr>
          <w:rFonts w:asciiTheme="minorHAnsi" w:hAnsiTheme="minorHAnsi" w:cs="Arial"/>
          <w:b w:val="0"/>
          <w:sz w:val="24"/>
          <w:szCs w:val="24"/>
        </w:rPr>
        <w:t>; Rodríguez-Martín</w:t>
      </w:r>
      <w:r w:rsidR="00E86AE2">
        <w:rPr>
          <w:rFonts w:asciiTheme="minorHAnsi" w:hAnsiTheme="minorHAnsi" w:cs="Arial"/>
          <w:b w:val="0"/>
          <w:sz w:val="24"/>
          <w:szCs w:val="24"/>
        </w:rPr>
        <w:t>,</w:t>
      </w:r>
      <w:r w:rsidRPr="00F24D6B">
        <w:rPr>
          <w:rFonts w:asciiTheme="minorHAnsi" w:hAnsiTheme="minorHAnsi" w:cs="Arial"/>
          <w:b w:val="0"/>
          <w:sz w:val="24"/>
          <w:szCs w:val="24"/>
        </w:rPr>
        <w:t xml:space="preserve"> Dolors</w:t>
      </w:r>
      <w:r>
        <w:rPr>
          <w:rFonts w:asciiTheme="minorHAnsi" w:hAnsiTheme="minorHAnsi" w:cs="Arial"/>
          <w:b w:val="0"/>
          <w:sz w:val="24"/>
          <w:szCs w:val="24"/>
        </w:rPr>
        <w:t xml:space="preserve"> (2</w:t>
      </w:r>
      <w:r>
        <w:rPr>
          <w:rFonts w:asciiTheme="minorHAnsi" w:hAnsiTheme="minorHAnsi" w:cs="Arial"/>
          <w:b w:val="0"/>
          <w:sz w:val="24"/>
          <w:szCs w:val="24"/>
        </w:rPr>
        <w:t>)</w:t>
      </w:r>
    </w:p>
    <w:p w:rsidR="00751EAD" w:rsidRDefault="00751EAD" w:rsidP="00751EAD">
      <w:pPr>
        <w:pStyle w:val="Ttulo1"/>
        <w:jc w:val="both"/>
        <w:rPr>
          <w:rFonts w:asciiTheme="minorHAnsi" w:hAnsiTheme="minorHAnsi" w:cs="Arial"/>
          <w:b w:val="0"/>
          <w:sz w:val="24"/>
          <w:szCs w:val="24"/>
        </w:rPr>
      </w:pPr>
      <w:r>
        <w:rPr>
          <w:rFonts w:asciiTheme="minorHAnsi" w:hAnsiTheme="minorHAnsi" w:cs="Arial"/>
          <w:b w:val="0"/>
          <w:sz w:val="24"/>
          <w:szCs w:val="24"/>
        </w:rPr>
        <w:t xml:space="preserve"> </w:t>
      </w:r>
      <w:r>
        <w:rPr>
          <w:rFonts w:asciiTheme="minorHAnsi" w:hAnsiTheme="minorHAnsi" w:cs="Arial"/>
          <w:b w:val="0"/>
          <w:sz w:val="24"/>
          <w:szCs w:val="24"/>
        </w:rPr>
        <w:t>(1) Investigadora postdoctoral del Departamento de Traducción y Ciencias del Lenguaje de la Universitat Pompeu Fabra; Miembro del G</w:t>
      </w:r>
      <w:r w:rsidRPr="00803FD9">
        <w:rPr>
          <w:rFonts w:asciiTheme="minorHAnsi" w:hAnsiTheme="minorHAnsi" w:cs="Arial"/>
          <w:b w:val="0"/>
          <w:sz w:val="24"/>
          <w:szCs w:val="24"/>
        </w:rPr>
        <w:t>rup</w:t>
      </w:r>
      <w:r>
        <w:rPr>
          <w:rFonts w:asciiTheme="minorHAnsi" w:hAnsiTheme="minorHAnsi" w:cs="Arial"/>
          <w:b w:val="0"/>
          <w:sz w:val="24"/>
          <w:szCs w:val="24"/>
        </w:rPr>
        <w:t>o</w:t>
      </w:r>
      <w:r w:rsidRPr="00803FD9">
        <w:rPr>
          <w:rFonts w:asciiTheme="minorHAnsi" w:hAnsiTheme="minorHAnsi" w:cs="Arial"/>
          <w:b w:val="0"/>
          <w:sz w:val="24"/>
          <w:szCs w:val="24"/>
        </w:rPr>
        <w:t xml:space="preserve"> de Lingüística Formal</w:t>
      </w:r>
      <w:r>
        <w:rPr>
          <w:rFonts w:asciiTheme="minorHAnsi" w:hAnsiTheme="minorHAnsi" w:cs="Arial"/>
          <w:b w:val="0"/>
          <w:sz w:val="24"/>
          <w:szCs w:val="24"/>
        </w:rPr>
        <w:t xml:space="preserve"> (GLiF).</w:t>
      </w:r>
    </w:p>
    <w:p w:rsidR="00655AA7" w:rsidRDefault="00751EAD" w:rsidP="00751EAD">
      <w:pPr>
        <w:rPr>
          <w:b/>
          <w:sz w:val="24"/>
          <w:lang w:val="es-ES"/>
        </w:rPr>
      </w:pPr>
      <w:r>
        <w:rPr>
          <w:rFonts w:cs="Arial"/>
          <w:sz w:val="24"/>
          <w:szCs w:val="24"/>
        </w:rPr>
        <w:t>(2) Profesora del Departamento de Enfermería Fundamental y Médico-Quirúrgica de la Universidad de Barcelona; Miembro del Grup de Recerca del Parentiu i el Patrimoni (GRAPP); miembro del Grup de Recerca en Gènere, Identitat i Cultura (GENI).</w:t>
      </w:r>
    </w:p>
    <w:p w:rsidR="0088033D" w:rsidRDefault="0088033D">
      <w:pPr>
        <w:rPr>
          <w:b/>
          <w:sz w:val="24"/>
          <w:lang w:val="es-ES"/>
        </w:rPr>
      </w:pPr>
    </w:p>
    <w:p w:rsidR="00655AA7" w:rsidRDefault="0088033D">
      <w:pPr>
        <w:rPr>
          <w:b/>
          <w:sz w:val="24"/>
          <w:lang w:val="es-ES"/>
        </w:rPr>
      </w:pPr>
      <w:r>
        <w:rPr>
          <w:b/>
          <w:sz w:val="24"/>
          <w:lang w:val="es-ES"/>
        </w:rPr>
        <w:t>ABSTRACT</w:t>
      </w:r>
    </w:p>
    <w:p w:rsidR="00D74A4A" w:rsidRPr="00485F50" w:rsidRDefault="00C46C06">
      <w:pPr>
        <w:rPr>
          <w:b/>
          <w:sz w:val="24"/>
          <w:lang w:val="es-ES"/>
        </w:rPr>
      </w:pPr>
      <w:r w:rsidRPr="00485F50">
        <w:rPr>
          <w:b/>
          <w:sz w:val="24"/>
          <w:lang w:val="es-ES"/>
        </w:rPr>
        <w:t xml:space="preserve">Las </w:t>
      </w:r>
      <w:r w:rsidR="00D045EB" w:rsidRPr="00485F50">
        <w:rPr>
          <w:b/>
          <w:sz w:val="24"/>
          <w:lang w:val="es-ES"/>
        </w:rPr>
        <w:t xml:space="preserve">políticas públicas educativas </w:t>
      </w:r>
      <w:r w:rsidRPr="00485F50">
        <w:rPr>
          <w:b/>
          <w:sz w:val="24"/>
          <w:lang w:val="es-ES"/>
        </w:rPr>
        <w:t>en la intervención con el niño sordo</w:t>
      </w:r>
    </w:p>
    <w:p w:rsidR="00751EAD" w:rsidRDefault="00A710D4" w:rsidP="00485F50">
      <w:pPr>
        <w:jc w:val="both"/>
        <w:rPr>
          <w:sz w:val="24"/>
          <w:lang w:val="es-ES"/>
        </w:rPr>
      </w:pPr>
      <w:bookmarkStart w:id="0" w:name="_GoBack"/>
      <w:r w:rsidRPr="00485F50">
        <w:rPr>
          <w:sz w:val="24"/>
          <w:lang w:val="es-ES"/>
        </w:rPr>
        <w:t xml:space="preserve">Las políticas educativas </w:t>
      </w:r>
      <w:r w:rsidR="00F63743" w:rsidRPr="00485F50">
        <w:rPr>
          <w:sz w:val="24"/>
          <w:lang w:val="es-ES"/>
        </w:rPr>
        <w:t>en el ámbito de</w:t>
      </w:r>
      <w:r w:rsidRPr="00485F50">
        <w:rPr>
          <w:sz w:val="24"/>
          <w:lang w:val="es-ES"/>
        </w:rPr>
        <w:t xml:space="preserve"> las personas sordas dependen de la concepción de la sordera </w:t>
      </w:r>
      <w:r w:rsidR="00F63743" w:rsidRPr="00485F50">
        <w:rPr>
          <w:sz w:val="24"/>
          <w:lang w:val="es-ES"/>
        </w:rPr>
        <w:t>predominante</w:t>
      </w:r>
      <w:r w:rsidRPr="00485F50">
        <w:rPr>
          <w:sz w:val="24"/>
          <w:lang w:val="es-ES"/>
        </w:rPr>
        <w:t>. P</w:t>
      </w:r>
      <w:r w:rsidR="00D045EB" w:rsidRPr="00485F50">
        <w:rPr>
          <w:sz w:val="24"/>
          <w:lang w:val="es-ES"/>
        </w:rPr>
        <w:t xml:space="preserve">or una parte, </w:t>
      </w:r>
      <w:r w:rsidRPr="00485F50">
        <w:rPr>
          <w:sz w:val="24"/>
          <w:lang w:val="es-ES"/>
        </w:rPr>
        <w:t xml:space="preserve">existe </w:t>
      </w:r>
      <w:r w:rsidR="00D045EB" w:rsidRPr="00485F50">
        <w:rPr>
          <w:sz w:val="24"/>
          <w:lang w:val="es-ES"/>
        </w:rPr>
        <w:t xml:space="preserve">la </w:t>
      </w:r>
      <w:r w:rsidRPr="00485F50">
        <w:rPr>
          <w:sz w:val="24"/>
          <w:lang w:val="es-ES"/>
        </w:rPr>
        <w:t xml:space="preserve">concepción </w:t>
      </w:r>
      <w:r w:rsidR="00C46C06" w:rsidRPr="00485F50">
        <w:rPr>
          <w:sz w:val="24"/>
          <w:lang w:val="es-ES"/>
        </w:rPr>
        <w:t>sociocultural</w:t>
      </w:r>
      <w:r w:rsidR="00D045EB" w:rsidRPr="00485F50">
        <w:rPr>
          <w:sz w:val="24"/>
          <w:lang w:val="es-ES"/>
        </w:rPr>
        <w:t xml:space="preserve">, en la que la lengua de signos tiene un papel fundamental en la identificación de la persona sorda </w:t>
      </w:r>
      <w:r w:rsidR="00DF7D7A" w:rsidRPr="00485F50">
        <w:rPr>
          <w:sz w:val="24"/>
          <w:lang w:val="es-ES"/>
        </w:rPr>
        <w:t>como miembro de</w:t>
      </w:r>
      <w:r w:rsidR="00D045EB" w:rsidRPr="00485F50">
        <w:rPr>
          <w:sz w:val="24"/>
          <w:lang w:val="es-ES"/>
        </w:rPr>
        <w:t xml:space="preserve"> un grupo cultural y lingüístico</w:t>
      </w:r>
      <w:r w:rsidR="00A64A4D" w:rsidRPr="00485F50">
        <w:rPr>
          <w:sz w:val="24"/>
          <w:lang w:val="es-ES"/>
        </w:rPr>
        <w:t xml:space="preserve"> </w:t>
      </w:r>
      <w:r w:rsidR="00A64A4D" w:rsidRPr="00485F50">
        <w:rPr>
          <w:rFonts w:cs="Arial"/>
          <w:sz w:val="24"/>
        </w:rPr>
        <w:fldChar w:fldCharType="begin" w:fldLock="1"/>
      </w:r>
      <w:r w:rsidR="009E671E" w:rsidRPr="00485F50">
        <w:rPr>
          <w:rFonts w:cs="Arial"/>
          <w:sz w:val="24"/>
        </w:rPr>
        <w:instrText>ADDIN CSL_CITATION { "citationItems" : [ { "id" : "ITEM-1", "itemData" : { "ISBN" : "978-0-19-539003-2", "abstract" : "(from the chapter) The oral/manual \"methods\" controversy arose more than 200 years ago. Although many variations exist, there have been three basic approaches. An \"oral\" approach concentrates on the development of the spoken language of a community. What is now known as a bilingual-bicultural (Bi-Bi) approach emphasizes the development of the natural sign language of a community as the first language, then teaches the majority language through reading. A third approach supports the development of a sign system based on the syntax of a spoken language and modifications of a sign language in instruction. This system can be used either alone or in coordination with speech, known as simultaneous communication (Sim Com), or alone. A fourth approach, known as total communication (TC), encourages the use of all forms of communication, dependent on individual needs. These longstanding debates have not been resolved after two centuries, and represent different perceptions of deafness, the requirements for leading a full, rich life, and resultant educational and social goals. The oral method was dominant from 1880 to 1960. Since then, constant change has occurred, with sign languages and sign systems receiving significant support. Recent global developments in neonatal screening, early intervention programs, cochlear implants, and the growth of an \"inclusion\" model in education have major implications for instruction and for the development of language and communication skills in deaf individuals. (PsycINFO Database Record (c) 2010 APA, all rights reserved) (chapter)", "author" : [ { "dropping-particle" : "", "family" : "Moores", "given" : "Donald F", "non-dropping-particle" : "", "parse-names" : false, "suffix" : "" } ], "collection-title" : "Oxford library of psychology", "container-title" : "The Oxford handbook of deaf studies, language, and education, Vol 2.", "editor" : [ { "dropping-particle" : "", "family" : "Spencer", "given" : "Patricia Elizabeth", "non-dropping-particle" : "", "parse-names" : false, "suffix" : "" } ], "genre" : "CHAP", "id" : "ITEM-1", "issued" : { "date-parts" : [ [ "2010" ] ] }, "note" : "ID: 2010-13577-002", "page" : "17-30", "publisher" : "Oxford University Press", "publisher-place" : "New York, NY US", "title" : "The history of language and communication issues in deaf education", "type" : "chapter" }, "uris" : [ "http://www.mendeley.com/documents/?uuid=df15dd1f-ba3f-4318-b879-40e10cf63536" ] } ], "mendeley" : { "formattedCitation" : "(Moores, 2010)", "plainTextFormattedCitation" : "(Moores, 2010)", "previouslyFormattedCitation" : "(Moores, 2010)" }, "properties" : { "noteIndex" : 0 }, "schema" : "https://github.com/citation-style-language/schema/raw/master/csl-citation.json" }</w:instrText>
      </w:r>
      <w:r w:rsidR="00A64A4D" w:rsidRPr="00485F50">
        <w:rPr>
          <w:rFonts w:cs="Arial"/>
          <w:sz w:val="24"/>
        </w:rPr>
        <w:fldChar w:fldCharType="separate"/>
      </w:r>
      <w:r w:rsidR="003C0D6D" w:rsidRPr="00485F50">
        <w:rPr>
          <w:rFonts w:cs="Arial"/>
          <w:noProof/>
          <w:sz w:val="24"/>
        </w:rPr>
        <w:t>(Moores, 2010)</w:t>
      </w:r>
      <w:r w:rsidR="00A64A4D" w:rsidRPr="00485F50">
        <w:rPr>
          <w:rFonts w:cs="Arial"/>
          <w:sz w:val="24"/>
        </w:rPr>
        <w:fldChar w:fldCharType="end"/>
      </w:r>
      <w:r w:rsidRPr="00485F50">
        <w:rPr>
          <w:rFonts w:cs="Arial"/>
          <w:sz w:val="24"/>
        </w:rPr>
        <w:t>. P</w:t>
      </w:r>
      <w:r w:rsidR="00485F50">
        <w:rPr>
          <w:sz w:val="24"/>
          <w:lang w:val="es-ES"/>
        </w:rPr>
        <w:t>or</w:t>
      </w:r>
      <w:r w:rsidR="00D045EB" w:rsidRPr="00485F50">
        <w:rPr>
          <w:sz w:val="24"/>
          <w:lang w:val="es-ES"/>
        </w:rPr>
        <w:t xml:space="preserve"> otra parte, la concepción médica de la sordera enfatiza la naturaleza patológica del fenómeno </w:t>
      </w:r>
      <w:r w:rsidR="00D045EB" w:rsidRPr="00485F50">
        <w:rPr>
          <w:rFonts w:cs="Arial"/>
          <w:sz w:val="24"/>
        </w:rPr>
        <w:fldChar w:fldCharType="begin" w:fldLock="1"/>
      </w:r>
      <w:r w:rsidR="00D045EB" w:rsidRPr="00485F50">
        <w:rPr>
          <w:rFonts w:cs="Arial"/>
          <w:sz w:val="24"/>
        </w:rPr>
        <w:instrText>ADDIN CSL_CITATION { "citationItems" : [ { "id" : "ITEM-1", "itemData" : { "ISBN" : "0521454778", "author" : [ { "dropping-particle" : "", "family" : "Parasnis", "given" : "Ila", "non-dropping-particle" : "", "parse-names" : false, "suffix" : "" } ], "id" : "ITEM-1", "issued" : { "date-parts" : [ [ "1996" ] ] }, "publisher" : "Cambridge University Press", "publisher-place" : "New York, NY", "title" : "Cultural and language diversity and the deaf experience", "type" : "book" }, "uris" : [ "http://www.mendeley.com/documents/?uuid=9757f8b1-6cd4-40f6-90f3-82ccc0cdf0fb" ] } ], "mendeley" : { "formattedCitation" : "(Parasnis, 1996)", "plainTextFormattedCitation" : "(Parasnis, 1996)", "previouslyFormattedCitation" : "(Parasnis, 1996)" }, "properties" : { "noteIndex" : 0 }, "schema" : "https://github.com/citation-style-language/schema/raw/master/csl-citation.json" }</w:instrText>
      </w:r>
      <w:r w:rsidR="00D045EB" w:rsidRPr="00485F50">
        <w:rPr>
          <w:rFonts w:cs="Arial"/>
          <w:sz w:val="24"/>
        </w:rPr>
        <w:fldChar w:fldCharType="separate"/>
      </w:r>
      <w:r w:rsidR="00D045EB" w:rsidRPr="00485F50">
        <w:rPr>
          <w:rFonts w:cs="Arial"/>
          <w:noProof/>
          <w:sz w:val="24"/>
        </w:rPr>
        <w:t>(Parasnis, 1996)</w:t>
      </w:r>
      <w:r w:rsidR="00D045EB" w:rsidRPr="00485F50">
        <w:rPr>
          <w:rFonts w:cs="Arial"/>
          <w:sz w:val="24"/>
        </w:rPr>
        <w:fldChar w:fldCharType="end"/>
      </w:r>
      <w:r w:rsidR="00D045EB" w:rsidRPr="00485F50">
        <w:rPr>
          <w:sz w:val="24"/>
          <w:lang w:val="es-ES"/>
        </w:rPr>
        <w:t xml:space="preserve">. </w:t>
      </w:r>
      <w:r w:rsidR="00F63743" w:rsidRPr="00485F50">
        <w:rPr>
          <w:sz w:val="24"/>
          <w:lang w:val="es-ES"/>
        </w:rPr>
        <w:t>En la mayoría de estados</w:t>
      </w:r>
      <w:r w:rsidR="00F55FA7">
        <w:rPr>
          <w:sz w:val="24"/>
          <w:lang w:val="es-ES"/>
        </w:rPr>
        <w:t>,</w:t>
      </w:r>
      <w:r w:rsidR="00F63743" w:rsidRPr="00485F50">
        <w:rPr>
          <w:sz w:val="24"/>
          <w:lang w:val="es-ES"/>
        </w:rPr>
        <w:t xml:space="preserve"> la educación bilingüe</w:t>
      </w:r>
      <w:r w:rsidR="00C46C06" w:rsidRPr="00485F50">
        <w:rPr>
          <w:sz w:val="24"/>
          <w:lang w:val="es-ES"/>
        </w:rPr>
        <w:t xml:space="preserve"> -</w:t>
      </w:r>
      <w:r w:rsidR="00751EAD">
        <w:rPr>
          <w:sz w:val="24"/>
          <w:lang w:val="es-ES"/>
        </w:rPr>
        <w:t>a</w:t>
      </w:r>
      <w:r w:rsidR="00C46C06" w:rsidRPr="00485F50">
        <w:rPr>
          <w:sz w:val="24"/>
          <w:lang w:val="es-ES"/>
        </w:rPr>
        <w:t>quel</w:t>
      </w:r>
      <w:r w:rsidR="00F63743" w:rsidRPr="00485F50">
        <w:rPr>
          <w:sz w:val="24"/>
          <w:lang w:val="es-ES"/>
        </w:rPr>
        <w:t>la que comparte la concepción sociocultural de la sordera, y en la que coexisten la lengua</w:t>
      </w:r>
      <w:r w:rsidR="00F55FA7">
        <w:rPr>
          <w:sz w:val="24"/>
          <w:lang w:val="es-ES"/>
        </w:rPr>
        <w:t xml:space="preserve"> de signos y las lenguas orales</w:t>
      </w:r>
      <w:r w:rsidR="00C46C06" w:rsidRPr="00485F50">
        <w:rPr>
          <w:sz w:val="24"/>
          <w:lang w:val="es-ES"/>
        </w:rPr>
        <w:t>-</w:t>
      </w:r>
      <w:r w:rsidR="00DF7D7A" w:rsidRPr="00485F50">
        <w:rPr>
          <w:sz w:val="24"/>
          <w:lang w:val="es-ES"/>
        </w:rPr>
        <w:t xml:space="preserve">, es muy minoritaria. El Estado español no es una excepción, y la educación </w:t>
      </w:r>
      <w:r w:rsidR="005D3312" w:rsidRPr="00485F50">
        <w:rPr>
          <w:sz w:val="24"/>
          <w:lang w:val="es-ES"/>
        </w:rPr>
        <w:t>predominante es aquella que solo incluye la(s) lengua(s) orales</w:t>
      </w:r>
      <w:r w:rsidR="00DF7D7A" w:rsidRPr="00485F50">
        <w:rPr>
          <w:sz w:val="24"/>
        </w:rPr>
        <w:t>.</w:t>
      </w:r>
      <w:r w:rsidR="00DF7D7A" w:rsidRPr="00485F50">
        <w:rPr>
          <w:sz w:val="24"/>
          <w:lang w:val="es-ES"/>
        </w:rPr>
        <w:t xml:space="preserve"> </w:t>
      </w:r>
    </w:p>
    <w:p w:rsidR="00D045EB" w:rsidRPr="00485F50" w:rsidRDefault="00F63743" w:rsidP="00485F50">
      <w:pPr>
        <w:jc w:val="both"/>
        <w:rPr>
          <w:sz w:val="24"/>
          <w:lang w:val="es-ES"/>
        </w:rPr>
      </w:pPr>
      <w:r w:rsidRPr="00485F50">
        <w:rPr>
          <w:sz w:val="24"/>
          <w:lang w:val="es-ES"/>
        </w:rPr>
        <w:t>El trabajo etnográfico desarrollado en un colegio bilingüe intermodal (lengua de signo</w:t>
      </w:r>
      <w:r w:rsidR="00C46C06" w:rsidRPr="00485F50">
        <w:rPr>
          <w:sz w:val="24"/>
          <w:lang w:val="es-ES"/>
        </w:rPr>
        <w:t>/</w:t>
      </w:r>
      <w:r w:rsidRPr="00485F50">
        <w:rPr>
          <w:sz w:val="24"/>
          <w:lang w:val="es-ES"/>
        </w:rPr>
        <w:t>lenguas orales) ha permitid</w:t>
      </w:r>
      <w:r w:rsidR="00DF7D7A" w:rsidRPr="00485F50">
        <w:rPr>
          <w:sz w:val="24"/>
          <w:lang w:val="es-ES"/>
        </w:rPr>
        <w:t xml:space="preserve">o analizar la experiencia de una modalidad educativa </w:t>
      </w:r>
      <w:r w:rsidRPr="00485F50">
        <w:rPr>
          <w:sz w:val="24"/>
          <w:lang w:val="es-ES"/>
        </w:rPr>
        <w:t>que cuenta con una historia</w:t>
      </w:r>
      <w:r w:rsidR="00C46C06" w:rsidRPr="00485F50">
        <w:rPr>
          <w:sz w:val="24"/>
          <w:lang w:val="es-ES"/>
        </w:rPr>
        <w:t xml:space="preserve"> de </w:t>
      </w:r>
      <w:r w:rsidR="00DF7D7A" w:rsidRPr="00485F50">
        <w:rPr>
          <w:sz w:val="24"/>
          <w:lang w:val="es-ES"/>
        </w:rPr>
        <w:t xml:space="preserve">poco más de </w:t>
      </w:r>
      <w:r w:rsidR="00485F50">
        <w:rPr>
          <w:sz w:val="24"/>
          <w:lang w:val="es-ES"/>
        </w:rPr>
        <w:t>2</w:t>
      </w:r>
      <w:r w:rsidR="00DF7D7A" w:rsidRPr="00485F50">
        <w:rPr>
          <w:sz w:val="24"/>
          <w:lang w:val="es-ES"/>
        </w:rPr>
        <w:t>0 años</w:t>
      </w:r>
      <w:r w:rsidR="00485F50">
        <w:rPr>
          <w:sz w:val="24"/>
          <w:lang w:val="es-ES"/>
        </w:rPr>
        <w:t xml:space="preserve">. Esta investigación </w:t>
      </w:r>
      <w:r w:rsidR="00DF7D7A" w:rsidRPr="00485F50">
        <w:rPr>
          <w:sz w:val="24"/>
          <w:lang w:val="es-ES"/>
        </w:rPr>
        <w:t xml:space="preserve">pone </w:t>
      </w:r>
      <w:r w:rsidR="00751EAD">
        <w:rPr>
          <w:sz w:val="24"/>
          <w:lang w:val="es-ES"/>
        </w:rPr>
        <w:t>de</w:t>
      </w:r>
      <w:r w:rsidR="00DF7D7A" w:rsidRPr="00485F50">
        <w:rPr>
          <w:sz w:val="24"/>
          <w:lang w:val="es-ES"/>
        </w:rPr>
        <w:t xml:space="preserve"> relieve las dificultades de implementar un proyecto educativo que ha recibido una escasa atención de las políticas públicas</w:t>
      </w:r>
      <w:r w:rsidR="005D3312" w:rsidRPr="00485F50">
        <w:rPr>
          <w:sz w:val="24"/>
          <w:lang w:val="es-ES"/>
        </w:rPr>
        <w:t xml:space="preserve">. A partir de la discusión de los resultados, se </w:t>
      </w:r>
      <w:r w:rsidR="00751EAD">
        <w:rPr>
          <w:sz w:val="24"/>
          <w:lang w:val="es-ES"/>
        </w:rPr>
        <w:t>identifican</w:t>
      </w:r>
      <w:r w:rsidR="005D3312" w:rsidRPr="00485F50">
        <w:rPr>
          <w:sz w:val="24"/>
          <w:lang w:val="es-ES"/>
        </w:rPr>
        <w:t xml:space="preserve"> </w:t>
      </w:r>
      <w:r w:rsidR="00AE58E3" w:rsidRPr="00485F50">
        <w:rPr>
          <w:sz w:val="24"/>
          <w:lang w:val="es-ES"/>
        </w:rPr>
        <w:t>las necesid</w:t>
      </w:r>
      <w:r w:rsidR="004742CB" w:rsidRPr="00485F50">
        <w:rPr>
          <w:sz w:val="24"/>
          <w:lang w:val="es-ES"/>
        </w:rPr>
        <w:t>ades que existen en el colegio y más allá de la in</w:t>
      </w:r>
      <w:r w:rsidR="00E76B89" w:rsidRPr="00485F50">
        <w:rPr>
          <w:sz w:val="24"/>
          <w:lang w:val="es-ES"/>
        </w:rPr>
        <w:t xml:space="preserve">stitución educativa: en el colegio, el papel de la lengua de signos necesita una fuerte promoción para asegurar la igualdad de oportunidades del alumnado sordo; en el contexto global, es imprescindible garantizar </w:t>
      </w:r>
      <w:r w:rsidR="00C46C06" w:rsidRPr="00485F50">
        <w:rPr>
          <w:sz w:val="24"/>
          <w:lang w:val="es-ES"/>
        </w:rPr>
        <w:t>la normalización de las lenguas de signos en la sociedad y en la atención de los niños sordos</w:t>
      </w:r>
      <w:r w:rsidR="00E76B89" w:rsidRPr="00485F50">
        <w:rPr>
          <w:sz w:val="24"/>
          <w:lang w:val="es-ES"/>
        </w:rPr>
        <w:t>.</w:t>
      </w:r>
      <w:r w:rsidR="00C630AD" w:rsidRPr="00485F50">
        <w:rPr>
          <w:sz w:val="24"/>
          <w:lang w:val="es-ES"/>
        </w:rPr>
        <w:t xml:space="preserve"> Sin embargo, para ello es necesario </w:t>
      </w:r>
      <w:r w:rsidR="00485F50">
        <w:rPr>
          <w:sz w:val="24"/>
          <w:lang w:val="es-ES"/>
        </w:rPr>
        <w:t>que la</w:t>
      </w:r>
      <w:r w:rsidR="00C630AD" w:rsidRPr="00485F50">
        <w:rPr>
          <w:sz w:val="24"/>
          <w:lang w:val="es-ES"/>
        </w:rPr>
        <w:t xml:space="preserve"> perspectiva </w:t>
      </w:r>
      <w:r w:rsidR="00485F50" w:rsidRPr="00485F50">
        <w:rPr>
          <w:sz w:val="24"/>
          <w:lang w:val="es-ES"/>
        </w:rPr>
        <w:t xml:space="preserve">médico-rehabilitadora </w:t>
      </w:r>
      <w:r w:rsidR="00485F50">
        <w:rPr>
          <w:sz w:val="24"/>
          <w:lang w:val="es-ES"/>
        </w:rPr>
        <w:t xml:space="preserve">de la sordera deje de ser </w:t>
      </w:r>
      <w:r w:rsidR="00C630AD" w:rsidRPr="00485F50">
        <w:rPr>
          <w:sz w:val="24"/>
          <w:lang w:val="es-ES"/>
        </w:rPr>
        <w:t>hegemónica,</w:t>
      </w:r>
      <w:r w:rsidR="00485F50">
        <w:rPr>
          <w:sz w:val="24"/>
          <w:lang w:val="es-ES"/>
        </w:rPr>
        <w:t xml:space="preserve"> y</w:t>
      </w:r>
      <w:r w:rsidR="00C630AD" w:rsidRPr="00485F50">
        <w:rPr>
          <w:sz w:val="24"/>
          <w:lang w:val="es-ES"/>
        </w:rPr>
        <w:t xml:space="preserve"> dé paso a un proceso en el que las personas sordas </w:t>
      </w:r>
      <w:r w:rsidR="00F55FA7">
        <w:rPr>
          <w:sz w:val="24"/>
          <w:lang w:val="es-ES"/>
        </w:rPr>
        <w:t>participen</w:t>
      </w:r>
      <w:r w:rsidR="00C630AD" w:rsidRPr="00485F50">
        <w:rPr>
          <w:sz w:val="24"/>
          <w:lang w:val="es-ES"/>
        </w:rPr>
        <w:t xml:space="preserve"> en el diseño de las políticas públicas, tal y como reivindican los defensores de las epistemologías de sordos</w:t>
      </w:r>
      <w:r w:rsidR="00B93E09">
        <w:rPr>
          <w:sz w:val="24"/>
          <w:lang w:val="es-ES"/>
        </w:rPr>
        <w:t xml:space="preserve"> </w:t>
      </w:r>
      <w:r w:rsidR="00B93E09">
        <w:rPr>
          <w:sz w:val="24"/>
          <w:lang w:val="es-ES"/>
        </w:rPr>
        <w:fldChar w:fldCharType="begin" w:fldLock="1"/>
      </w:r>
      <w:r w:rsidR="00B93E09">
        <w:rPr>
          <w:sz w:val="24"/>
          <w:lang w:val="es-ES"/>
        </w:rPr>
        <w:instrText>ADDIN CSL_CITATION { "citationItems" : [ { "id" : "ITEM-1", "itemData" : { "ISBN" : "0002-726X", "ISSN" : "0002-726X", "PMID" : "20415282", "abstract" : "The standard epistemology requires the use of hard science to gain knowledge and discover the truth. In contrast, Deaf epistemology relies heavily on personal testimonies, personal experiences, and personal accounts to document knowledge. In recent years, a number of deaf schools have adopted deaf-centric policies shaped by Deaf epistemology in an effort to improve academic performance of deaf students. Because of federal laws, all schools are now expected to show accountability in the performance of their students, with data becoming increasingly available for public scrutiny. The preliminary data from three well-known deaf schools are beginning to show that the effectiveness of deaf-centric approaches can be substantiated by the standard epistemology. For this reason, Deaf epistemology and the standard epistemology should not always be viewed as having an oxymoronic relationship.", "author" : [ { "dropping-particle" : "", "family" : "Holcomb", "given" : "Thomas K", "non-dropping-particle" : "", "parse-names" : false, "suffix" : "" } ], "container-title" : "American Annals of the Deaf", "id" : "ITEM-1", "issue" : "5", "issued" : { "date-parts" : [ [ "2010" ] ] }, "page" : "471-478", "title" : "Deaf epistemology: the deaf way of knowing.", "type" : "article-journal", "volume" : "154" }, "uris" : [ "http://www.mendeley.com/documents/?uuid=e4373245-8cba-4b12-97f1-4c9ca7afd818" ] } ], "mendeley" : { "formattedCitation" : "(Holcomb, 2010)", "plainTextFormattedCitation" : "(Holcomb, 2010)" }, "properties" : { "noteIndex" : 0 }, "schema" : "https://github.com/citation-style-language/schema/raw/master/csl-citation.json" }</w:instrText>
      </w:r>
      <w:r w:rsidR="00B93E09">
        <w:rPr>
          <w:sz w:val="24"/>
          <w:lang w:val="es-ES"/>
        </w:rPr>
        <w:fldChar w:fldCharType="separate"/>
      </w:r>
      <w:r w:rsidR="00B93E09" w:rsidRPr="00B93E09">
        <w:rPr>
          <w:noProof/>
          <w:sz w:val="24"/>
          <w:lang w:val="es-ES"/>
        </w:rPr>
        <w:t>(Holcomb, 2010)</w:t>
      </w:r>
      <w:r w:rsidR="00B93E09">
        <w:rPr>
          <w:sz w:val="24"/>
          <w:lang w:val="es-ES"/>
        </w:rPr>
        <w:fldChar w:fldCharType="end"/>
      </w:r>
      <w:r w:rsidR="00C46C06" w:rsidRPr="00485F50">
        <w:rPr>
          <w:sz w:val="24"/>
        </w:rPr>
        <w:t>.</w:t>
      </w:r>
    </w:p>
    <w:bookmarkEnd w:id="0"/>
    <w:p w:rsidR="009E671E" w:rsidRPr="00485F50" w:rsidRDefault="009E671E">
      <w:pPr>
        <w:rPr>
          <w:b/>
          <w:sz w:val="24"/>
          <w:lang w:val="es-ES"/>
        </w:rPr>
      </w:pPr>
      <w:r w:rsidRPr="00485F50">
        <w:rPr>
          <w:b/>
          <w:sz w:val="24"/>
          <w:lang w:val="es-ES"/>
        </w:rPr>
        <w:t>Referencias</w:t>
      </w:r>
    </w:p>
    <w:p w:rsidR="00B93E09" w:rsidRPr="00B93E09" w:rsidRDefault="009E671E" w:rsidP="00B93E09">
      <w:pPr>
        <w:widowControl w:val="0"/>
        <w:autoSpaceDE w:val="0"/>
        <w:autoSpaceDN w:val="0"/>
        <w:adjustRightInd w:val="0"/>
        <w:spacing w:line="240" w:lineRule="auto"/>
        <w:ind w:left="480" w:hanging="480"/>
        <w:rPr>
          <w:rFonts w:ascii="Calibri" w:hAnsi="Calibri" w:cs="Calibri"/>
          <w:noProof/>
          <w:sz w:val="24"/>
          <w:szCs w:val="24"/>
        </w:rPr>
      </w:pPr>
      <w:r w:rsidRPr="00485F50">
        <w:rPr>
          <w:sz w:val="24"/>
          <w:lang w:val="es-ES"/>
        </w:rPr>
        <w:lastRenderedPageBreak/>
        <w:fldChar w:fldCharType="begin" w:fldLock="1"/>
      </w:r>
      <w:r w:rsidRPr="00655AA7">
        <w:rPr>
          <w:sz w:val="24"/>
          <w:lang w:val="en-GB"/>
        </w:rPr>
        <w:instrText xml:space="preserve">ADDIN Mendeley Bibliography CSL_BIBLIOGRAPHY </w:instrText>
      </w:r>
      <w:r w:rsidRPr="00485F50">
        <w:rPr>
          <w:sz w:val="24"/>
          <w:lang w:val="es-ES"/>
        </w:rPr>
        <w:fldChar w:fldCharType="separate"/>
      </w:r>
      <w:r w:rsidR="00B93E09" w:rsidRPr="00B93E09">
        <w:rPr>
          <w:rFonts w:ascii="Calibri" w:hAnsi="Calibri" w:cs="Calibri"/>
          <w:noProof/>
          <w:sz w:val="24"/>
          <w:szCs w:val="24"/>
        </w:rPr>
        <w:t xml:space="preserve">Holcomb, T. K. (2010). Deaf epistemology: the deaf way of knowing. </w:t>
      </w:r>
      <w:r w:rsidR="00B93E09" w:rsidRPr="00B93E09">
        <w:rPr>
          <w:rFonts w:ascii="Calibri" w:hAnsi="Calibri" w:cs="Calibri"/>
          <w:i/>
          <w:iCs/>
          <w:noProof/>
          <w:sz w:val="24"/>
          <w:szCs w:val="24"/>
        </w:rPr>
        <w:t>American Annals of the Deaf</w:t>
      </w:r>
      <w:r w:rsidR="00B93E09" w:rsidRPr="00B93E09">
        <w:rPr>
          <w:rFonts w:ascii="Calibri" w:hAnsi="Calibri" w:cs="Calibri"/>
          <w:noProof/>
          <w:sz w:val="24"/>
          <w:szCs w:val="24"/>
        </w:rPr>
        <w:t xml:space="preserve">, </w:t>
      </w:r>
      <w:r w:rsidR="00B93E09" w:rsidRPr="00B93E09">
        <w:rPr>
          <w:rFonts w:ascii="Calibri" w:hAnsi="Calibri" w:cs="Calibri"/>
          <w:i/>
          <w:iCs/>
          <w:noProof/>
          <w:sz w:val="24"/>
          <w:szCs w:val="24"/>
        </w:rPr>
        <w:t>154</w:t>
      </w:r>
      <w:r w:rsidR="00B93E09" w:rsidRPr="00B93E09">
        <w:rPr>
          <w:rFonts w:ascii="Calibri" w:hAnsi="Calibri" w:cs="Calibri"/>
          <w:noProof/>
          <w:sz w:val="24"/>
          <w:szCs w:val="24"/>
        </w:rPr>
        <w:t>(5), 471–478.</w:t>
      </w:r>
    </w:p>
    <w:p w:rsidR="00B93E09" w:rsidRPr="00B93E09" w:rsidRDefault="00B93E09" w:rsidP="00B93E09">
      <w:pPr>
        <w:widowControl w:val="0"/>
        <w:autoSpaceDE w:val="0"/>
        <w:autoSpaceDN w:val="0"/>
        <w:adjustRightInd w:val="0"/>
        <w:spacing w:line="240" w:lineRule="auto"/>
        <w:ind w:left="480" w:hanging="480"/>
        <w:rPr>
          <w:rFonts w:ascii="Calibri" w:hAnsi="Calibri" w:cs="Calibri"/>
          <w:noProof/>
          <w:sz w:val="24"/>
          <w:szCs w:val="24"/>
        </w:rPr>
      </w:pPr>
      <w:r w:rsidRPr="00B93E09">
        <w:rPr>
          <w:rFonts w:ascii="Calibri" w:hAnsi="Calibri" w:cs="Calibri"/>
          <w:noProof/>
          <w:sz w:val="24"/>
          <w:szCs w:val="24"/>
        </w:rPr>
        <w:t xml:space="preserve">Moores, D. F. (2010). The history of language and communication issues in deaf education. In P. E. Spencer (Ed.), </w:t>
      </w:r>
      <w:r w:rsidRPr="00B93E09">
        <w:rPr>
          <w:rFonts w:ascii="Calibri" w:hAnsi="Calibri" w:cs="Calibri"/>
          <w:i/>
          <w:iCs/>
          <w:noProof/>
          <w:sz w:val="24"/>
          <w:szCs w:val="24"/>
        </w:rPr>
        <w:t>The Oxford handbook of deaf studies, language, and education, Vol 2.</w:t>
      </w:r>
      <w:r w:rsidRPr="00B93E09">
        <w:rPr>
          <w:rFonts w:ascii="Calibri" w:hAnsi="Calibri" w:cs="Calibri"/>
          <w:noProof/>
          <w:sz w:val="24"/>
          <w:szCs w:val="24"/>
        </w:rPr>
        <w:t xml:space="preserve"> (pp. 17–30). New York, NY US: Oxford University Press.</w:t>
      </w:r>
    </w:p>
    <w:p w:rsidR="00B93E09" w:rsidRPr="00B93E09" w:rsidRDefault="00B93E09" w:rsidP="00B93E09">
      <w:pPr>
        <w:widowControl w:val="0"/>
        <w:autoSpaceDE w:val="0"/>
        <w:autoSpaceDN w:val="0"/>
        <w:adjustRightInd w:val="0"/>
        <w:spacing w:line="240" w:lineRule="auto"/>
        <w:ind w:left="480" w:hanging="480"/>
        <w:rPr>
          <w:rFonts w:ascii="Calibri" w:hAnsi="Calibri" w:cs="Calibri"/>
          <w:noProof/>
          <w:sz w:val="24"/>
        </w:rPr>
      </w:pPr>
      <w:r w:rsidRPr="00B93E09">
        <w:rPr>
          <w:rFonts w:ascii="Calibri" w:hAnsi="Calibri" w:cs="Calibri"/>
          <w:noProof/>
          <w:sz w:val="24"/>
          <w:szCs w:val="24"/>
        </w:rPr>
        <w:t xml:space="preserve">Parasnis, I. (1996). </w:t>
      </w:r>
      <w:r w:rsidRPr="00B93E09">
        <w:rPr>
          <w:rFonts w:ascii="Calibri" w:hAnsi="Calibri" w:cs="Calibri"/>
          <w:i/>
          <w:iCs/>
          <w:noProof/>
          <w:sz w:val="24"/>
          <w:szCs w:val="24"/>
        </w:rPr>
        <w:t>Cultural and language diversity and the deaf experience</w:t>
      </w:r>
      <w:r w:rsidRPr="00B93E09">
        <w:rPr>
          <w:rFonts w:ascii="Calibri" w:hAnsi="Calibri" w:cs="Calibri"/>
          <w:noProof/>
          <w:sz w:val="24"/>
          <w:szCs w:val="24"/>
        </w:rPr>
        <w:t>. New York, NY: Cambridge University Press.</w:t>
      </w:r>
    </w:p>
    <w:p w:rsidR="009E671E" w:rsidRPr="00D045EB" w:rsidRDefault="009E671E">
      <w:pPr>
        <w:rPr>
          <w:lang w:val="es-ES"/>
        </w:rPr>
      </w:pPr>
      <w:r w:rsidRPr="00485F50">
        <w:rPr>
          <w:sz w:val="24"/>
          <w:lang w:val="es-ES"/>
        </w:rPr>
        <w:fldChar w:fldCharType="end"/>
      </w:r>
    </w:p>
    <w:sectPr w:rsidR="009E671E" w:rsidRPr="00D045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5EB"/>
    <w:rsid w:val="000971FE"/>
    <w:rsid w:val="003C0D6D"/>
    <w:rsid w:val="00421FBF"/>
    <w:rsid w:val="004742CB"/>
    <w:rsid w:val="00485F50"/>
    <w:rsid w:val="005D3312"/>
    <w:rsid w:val="00655AA7"/>
    <w:rsid w:val="00751EAD"/>
    <w:rsid w:val="0088033D"/>
    <w:rsid w:val="009E671E"/>
    <w:rsid w:val="009F0679"/>
    <w:rsid w:val="00A64A4D"/>
    <w:rsid w:val="00A710D4"/>
    <w:rsid w:val="00AE58E3"/>
    <w:rsid w:val="00B50390"/>
    <w:rsid w:val="00B93E09"/>
    <w:rsid w:val="00C46C06"/>
    <w:rsid w:val="00C562C8"/>
    <w:rsid w:val="00C630AD"/>
    <w:rsid w:val="00CF18C5"/>
    <w:rsid w:val="00D045EB"/>
    <w:rsid w:val="00DF7D7A"/>
    <w:rsid w:val="00E76B89"/>
    <w:rsid w:val="00E86AE2"/>
    <w:rsid w:val="00F55FA7"/>
    <w:rsid w:val="00F6374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9873A"/>
  <w15:chartTrackingRefBased/>
  <w15:docId w15:val="{AD4CEFF7-01BD-4F8E-9591-26676696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link w:val="Ttulo1Car"/>
    <w:uiPriority w:val="9"/>
    <w:qFormat/>
    <w:rsid w:val="00751EAD"/>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1EAD"/>
    <w:rPr>
      <w:rFonts w:ascii="Times New Roman" w:eastAsia="Times New Roman" w:hAnsi="Times New Roman" w:cs="Times New Roman"/>
      <w:b/>
      <w:bCs/>
      <w:kern w:val="36"/>
      <w:sz w:val="48"/>
      <w:szCs w:val="48"/>
      <w:lang w:val="es-ES" w:eastAsia="es-ES"/>
    </w:rPr>
  </w:style>
  <w:style w:type="character" w:styleId="Refdecomentario">
    <w:name w:val="annotation reference"/>
    <w:basedOn w:val="Fuentedeprrafopredeter"/>
    <w:uiPriority w:val="99"/>
    <w:semiHidden/>
    <w:unhideWhenUsed/>
    <w:rsid w:val="00751EAD"/>
    <w:rPr>
      <w:sz w:val="16"/>
      <w:szCs w:val="16"/>
    </w:rPr>
  </w:style>
  <w:style w:type="paragraph" w:styleId="Textocomentario">
    <w:name w:val="annotation text"/>
    <w:basedOn w:val="Normal"/>
    <w:link w:val="TextocomentarioCar"/>
    <w:uiPriority w:val="99"/>
    <w:semiHidden/>
    <w:unhideWhenUsed/>
    <w:rsid w:val="00751EAD"/>
    <w:pPr>
      <w:spacing w:after="200" w:line="240" w:lineRule="auto"/>
    </w:pPr>
    <w:rPr>
      <w:sz w:val="20"/>
      <w:szCs w:val="20"/>
      <w:lang w:val="es-ES_tradnl"/>
    </w:rPr>
  </w:style>
  <w:style w:type="character" w:customStyle="1" w:styleId="TextocomentarioCar">
    <w:name w:val="Texto comentario Car"/>
    <w:basedOn w:val="Fuentedeprrafopredeter"/>
    <w:link w:val="Textocomentario"/>
    <w:uiPriority w:val="99"/>
    <w:semiHidden/>
    <w:rsid w:val="00751EAD"/>
    <w:rPr>
      <w:sz w:val="20"/>
      <w:szCs w:val="20"/>
      <w:lang w:val="es-ES_tradnl"/>
    </w:rPr>
  </w:style>
  <w:style w:type="paragraph" w:styleId="Textodeglobo">
    <w:name w:val="Balloon Text"/>
    <w:basedOn w:val="Normal"/>
    <w:link w:val="TextodegloboCar"/>
    <w:uiPriority w:val="99"/>
    <w:semiHidden/>
    <w:unhideWhenUsed/>
    <w:rsid w:val="00751E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1E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46B06-A903-4749-B357-47ABF787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1314</Words>
  <Characters>7495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Jordina SA</dc:creator>
  <cp:keywords/>
  <dc:description/>
  <cp:lastModifiedBy>Jordina SA</cp:lastModifiedBy>
  <cp:revision>14</cp:revision>
  <cp:lastPrinted>2016-10-19T21:50:00Z</cp:lastPrinted>
  <dcterms:created xsi:type="dcterms:W3CDTF">2016-10-19T19:24:00Z</dcterms:created>
  <dcterms:modified xsi:type="dcterms:W3CDTF">2016-10-19T21:52:00Z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9d78f3e3-3f33-34bc-bbba-c6fede785ecc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