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Per omissió"/>
        <w:bidi w:val="0"/>
        <w:ind w:left="0" w:right="0" w:firstLine="0"/>
        <w:jc w:val="both"/>
        <w:rPr>
          <w:b w:val="1"/>
          <w:bCs w:val="1"/>
          <w:color w:val="323232"/>
          <w:sz w:val="20"/>
          <w:szCs w:val="20"/>
          <w:rtl w:val="0"/>
        </w:rPr>
      </w:pPr>
    </w:p>
    <w:p>
      <w:pPr>
        <w:pStyle w:val="Per omissió"/>
        <w:bidi w:val="0"/>
        <w:ind w:left="0" w:right="0" w:firstLine="0"/>
        <w:jc w:val="both"/>
        <w:rPr>
          <w:b w:val="1"/>
          <w:bCs w:val="1"/>
          <w:color w:val="323232"/>
          <w:sz w:val="20"/>
          <w:szCs w:val="20"/>
          <w:rtl w:val="0"/>
        </w:rPr>
      </w:pP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T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í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tulo: Empoderamiento, juventud y participaci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ó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n en el campo de la desinstitucionalizaci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ó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n psiqui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á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 xml:space="preserve">trica. 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¿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Transformaci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ó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n o legitimaci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ó</w:t>
      </w: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n del modelo de normalidad?</w:t>
      </w:r>
    </w:p>
    <w:p>
      <w:pPr>
        <w:pStyle w:val="Per omissió"/>
        <w:bidi w:val="0"/>
        <w:ind w:left="0" w:right="0" w:firstLine="0"/>
        <w:jc w:val="both"/>
        <w:rPr>
          <w:b w:val="1"/>
          <w:bCs w:val="1"/>
          <w:color w:val="323232"/>
          <w:sz w:val="20"/>
          <w:szCs w:val="20"/>
          <w:rtl w:val="0"/>
        </w:rPr>
      </w:pPr>
    </w:p>
    <w:p>
      <w:pPr>
        <w:pStyle w:val="Per omissió"/>
        <w:bidi w:val="0"/>
        <w:ind w:left="0" w:right="0" w:firstLine="0"/>
        <w:jc w:val="right"/>
        <w:rPr>
          <w:b w:val="1"/>
          <w:bCs w:val="1"/>
          <w:color w:val="323232"/>
          <w:sz w:val="20"/>
          <w:szCs w:val="20"/>
          <w:rtl w:val="0"/>
        </w:rPr>
      </w:pP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Xavier Cela Bertran</w:t>
      </w:r>
    </w:p>
    <w:p>
      <w:pPr>
        <w:pStyle w:val="Per omissió"/>
        <w:bidi w:val="0"/>
        <w:ind w:left="0" w:right="0" w:firstLine="0"/>
        <w:jc w:val="both"/>
        <w:rPr>
          <w:b w:val="1"/>
          <w:bCs w:val="1"/>
          <w:color w:val="323232"/>
          <w:sz w:val="20"/>
          <w:szCs w:val="20"/>
          <w:rtl w:val="0"/>
        </w:rPr>
      </w:pPr>
    </w:p>
    <w:p>
      <w:pPr>
        <w:pStyle w:val="Per omissió"/>
        <w:bidi w:val="0"/>
        <w:ind w:left="0" w:right="0" w:firstLine="0"/>
        <w:jc w:val="both"/>
        <w:rPr>
          <w:b w:val="1"/>
          <w:bCs w:val="1"/>
          <w:color w:val="323232"/>
          <w:sz w:val="20"/>
          <w:szCs w:val="20"/>
          <w:rtl w:val="0"/>
        </w:rPr>
      </w:pPr>
      <w:r>
        <w:rPr>
          <w:b w:val="1"/>
          <w:bCs w:val="1"/>
          <w:color w:val="323232"/>
          <w:sz w:val="20"/>
          <w:szCs w:val="20"/>
          <w:rtl w:val="0"/>
          <w:lang w:val="es-ES_tradnl"/>
        </w:rPr>
        <w:t>Resumen:</w:t>
      </w:r>
    </w:p>
    <w:p>
      <w:pPr>
        <w:pStyle w:val="Per omissió"/>
        <w:bidi w:val="0"/>
        <w:ind w:left="0" w:right="0" w:firstLine="0"/>
        <w:jc w:val="both"/>
        <w:rPr>
          <w:b w:val="1"/>
          <w:bCs w:val="1"/>
          <w:color w:val="323232"/>
          <w:sz w:val="20"/>
          <w:szCs w:val="20"/>
          <w:rtl w:val="0"/>
        </w:rPr>
      </w:pPr>
    </w:p>
    <w:p>
      <w:pPr>
        <w:pStyle w:val="Per omissió"/>
        <w:bidi w:val="0"/>
        <w:ind w:left="0" w:right="0" w:firstLine="0"/>
        <w:jc w:val="both"/>
        <w:rPr>
          <w:i w:val="1"/>
          <w:iCs w:val="1"/>
          <w:color w:val="323232"/>
          <w:sz w:val="20"/>
          <w:szCs w:val="20"/>
          <w:rtl w:val="0"/>
        </w:rPr>
      </w:pPr>
      <w:r>
        <w:rPr>
          <w:color w:val="323232"/>
          <w:sz w:val="20"/>
          <w:szCs w:val="20"/>
          <w:rtl w:val="0"/>
          <w:lang w:val="es-ES_tradnl"/>
        </w:rPr>
        <w:t>Conceptos como agencia, empoderamiento o participaci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presentan significados demasiado l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biles y amplios si son presentados sin contexto. Partimos en nuestra comunicaci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de la hip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tesis que esta carencia de definici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y concreci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resultan altamente funcionales en t</w:t>
      </w:r>
      <w:r>
        <w:rPr>
          <w:color w:val="323232"/>
          <w:sz w:val="20"/>
          <w:szCs w:val="20"/>
          <w:rtl w:val="0"/>
          <w:lang w:val="es-ES_tradnl"/>
        </w:rPr>
        <w:t>é</w:t>
      </w:r>
      <w:r>
        <w:rPr>
          <w:color w:val="323232"/>
          <w:sz w:val="20"/>
          <w:szCs w:val="20"/>
          <w:rtl w:val="0"/>
          <w:lang w:val="es-ES_tradnl"/>
        </w:rPr>
        <w:t xml:space="preserve">rminos de </w:t>
      </w:r>
      <w:r>
        <w:rPr>
          <w:i w:val="1"/>
          <w:iCs w:val="1"/>
          <w:color w:val="323232"/>
          <w:sz w:val="20"/>
          <w:szCs w:val="20"/>
          <w:rtl w:val="0"/>
          <w:lang w:val="es-ES_tradnl"/>
        </w:rPr>
        <w:t>gubernamentalidad</w:t>
      </w:r>
      <w:r>
        <w:rPr>
          <w:color w:val="323232"/>
          <w:sz w:val="20"/>
          <w:szCs w:val="20"/>
          <w:rtl w:val="0"/>
          <w:lang w:val="es-ES_tradnl"/>
        </w:rPr>
        <w:t>.  Si situamos el conocimiento y los inscribimos en el campo de la desinstitucionalizaci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psiqui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trica, podemos analizar las potencialidades pero tambi</w:t>
      </w:r>
      <w:r>
        <w:rPr>
          <w:color w:val="323232"/>
          <w:sz w:val="20"/>
          <w:szCs w:val="20"/>
          <w:rtl w:val="0"/>
          <w:lang w:val="es-ES_tradnl"/>
        </w:rPr>
        <w:t>é</w:t>
      </w:r>
      <w:r>
        <w:rPr>
          <w:color w:val="323232"/>
          <w:sz w:val="20"/>
          <w:szCs w:val="20"/>
          <w:rtl w:val="0"/>
          <w:lang w:val="es-ES_tradnl"/>
        </w:rPr>
        <w:t>n los l</w:t>
      </w:r>
      <w:r>
        <w:rPr>
          <w:color w:val="323232"/>
          <w:sz w:val="20"/>
          <w:szCs w:val="20"/>
          <w:rtl w:val="0"/>
          <w:lang w:val="es-ES_tradnl"/>
        </w:rPr>
        <w:t>í</w:t>
      </w:r>
      <w:r>
        <w:rPr>
          <w:color w:val="323232"/>
          <w:sz w:val="20"/>
          <w:szCs w:val="20"/>
          <w:rtl w:val="0"/>
          <w:lang w:val="es-ES_tradnl"/>
        </w:rPr>
        <w:t>mites y las contradicciones que presentan los discursos  y pr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cticas articuladas alrededor de dichas ideas o conceptos</w:t>
      </w:r>
      <w:r>
        <w:rPr>
          <w:i w:val="1"/>
          <w:iCs w:val="1"/>
          <w:color w:val="323232"/>
          <w:sz w:val="20"/>
          <w:szCs w:val="20"/>
          <w:rtl w:val="0"/>
          <w:lang w:val="es-ES_tradnl"/>
        </w:rPr>
        <w:t xml:space="preserve">. </w:t>
      </w:r>
    </w:p>
    <w:p>
      <w:pPr>
        <w:pStyle w:val="Per omissió"/>
        <w:bidi w:val="0"/>
        <w:ind w:left="0" w:right="0" w:firstLine="0"/>
        <w:jc w:val="both"/>
        <w:rPr>
          <w:i w:val="1"/>
          <w:iCs w:val="1"/>
          <w:color w:val="323232"/>
          <w:sz w:val="20"/>
          <w:szCs w:val="20"/>
          <w:rtl w:val="0"/>
        </w:rPr>
      </w:pPr>
    </w:p>
    <w:p>
      <w:pPr>
        <w:pStyle w:val="Per omissió"/>
        <w:bidi w:val="0"/>
        <w:ind w:left="0" w:right="0" w:firstLine="0"/>
        <w:jc w:val="both"/>
        <w:rPr>
          <w:i w:val="1"/>
          <w:iCs w:val="1"/>
          <w:color w:val="323232"/>
          <w:sz w:val="20"/>
          <w:szCs w:val="20"/>
          <w:rtl w:val="0"/>
        </w:rPr>
      </w:pPr>
    </w:p>
    <w:p>
      <w:pPr>
        <w:pStyle w:val="Per omissió"/>
        <w:bidi w:val="0"/>
        <w:ind w:left="0" w:right="0" w:firstLine="0"/>
        <w:jc w:val="both"/>
        <w:rPr>
          <w:color w:val="323232"/>
          <w:sz w:val="20"/>
          <w:szCs w:val="20"/>
          <w:rtl w:val="0"/>
        </w:rPr>
      </w:pPr>
      <w:r>
        <w:rPr>
          <w:color w:val="323232"/>
          <w:sz w:val="20"/>
          <w:szCs w:val="20"/>
          <w:rtl w:val="0"/>
          <w:lang w:val="es-ES_tradnl"/>
        </w:rPr>
        <w:t>Tanto des de un discurso biom</w:t>
      </w:r>
      <w:r>
        <w:rPr>
          <w:color w:val="323232"/>
          <w:sz w:val="20"/>
          <w:szCs w:val="20"/>
          <w:rtl w:val="0"/>
          <w:lang w:val="es-ES_tradnl"/>
        </w:rPr>
        <w:t>é</w:t>
      </w:r>
      <w:r>
        <w:rPr>
          <w:color w:val="323232"/>
          <w:sz w:val="20"/>
          <w:szCs w:val="20"/>
          <w:rtl w:val="0"/>
          <w:lang w:val="es-ES_tradnl"/>
        </w:rPr>
        <w:t>dico, el cual da poca importancia al contexto socioecon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mico y cultural, como des de una pr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ctica psicosocial -y hasta, en ocasiones en nombre de iniciativas transformadoras- se utilizan, en muchas ocasiones, estas ideas de manera reduccionista y en t</w:t>
      </w:r>
      <w:r>
        <w:rPr>
          <w:color w:val="323232"/>
          <w:sz w:val="20"/>
          <w:szCs w:val="20"/>
          <w:rtl w:val="0"/>
          <w:lang w:val="es-ES_tradnl"/>
        </w:rPr>
        <w:t>é</w:t>
      </w:r>
      <w:r>
        <w:rPr>
          <w:color w:val="323232"/>
          <w:sz w:val="20"/>
          <w:szCs w:val="20"/>
          <w:rtl w:val="0"/>
          <w:lang w:val="es-ES_tradnl"/>
        </w:rPr>
        <w:t>rminos absolutos sin problematizar su aplicaci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. La carencia de un an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lisis en profundidad del contexto produce un efecto doble; por un lado de desresponsabilizaci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de la estructura social -y por lo tanto la individualizaci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del fen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meno-  y por el otro de legitimaci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n del modelo de normalidad. Este hecho podemos observarlo de manera especialmente n</w:t>
      </w:r>
      <w:r>
        <w:rPr>
          <w:color w:val="323232"/>
          <w:sz w:val="20"/>
          <w:szCs w:val="20"/>
          <w:rtl w:val="0"/>
          <w:lang w:val="es-ES_tradnl"/>
        </w:rPr>
        <w:t>í</w:t>
      </w:r>
      <w:r>
        <w:rPr>
          <w:color w:val="323232"/>
          <w:sz w:val="20"/>
          <w:szCs w:val="20"/>
          <w:rtl w:val="0"/>
          <w:lang w:val="es-ES_tradnl"/>
        </w:rPr>
        <w:t>tida en el campo etnogr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fico a partir del cual estoy desarrollando mi investigaci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 xml:space="preserve">n de tesis. Me refiero al campo de la </w:t>
      </w:r>
      <w:r>
        <w:rPr>
          <w:i w:val="1"/>
          <w:iCs w:val="1"/>
          <w:color w:val="323232"/>
          <w:sz w:val="20"/>
          <w:szCs w:val="20"/>
          <w:rtl w:val="0"/>
          <w:lang w:val="es-ES_tradnl"/>
        </w:rPr>
        <w:t xml:space="preserve">salud mental juvenil, </w:t>
      </w:r>
      <w:r>
        <w:rPr>
          <w:color w:val="323232"/>
          <w:sz w:val="20"/>
          <w:szCs w:val="20"/>
          <w:rtl w:val="0"/>
          <w:lang w:val="es-ES_tradnl"/>
        </w:rPr>
        <w:t>en el cual los discursos emancipadores acumulan tanta centralidad como fracaso y contradicci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 xml:space="preserve">n. A partir de un estudio de caso, plantearemos como se articulan dichos conceptos en un campo donde la </w:t>
      </w:r>
      <w:r>
        <w:rPr>
          <w:i w:val="1"/>
          <w:iCs w:val="1"/>
          <w:color w:val="323232"/>
          <w:sz w:val="20"/>
          <w:szCs w:val="20"/>
          <w:rtl w:val="0"/>
          <w:lang w:val="es-ES_tradnl"/>
        </w:rPr>
        <w:t>marginalizaci</w:t>
      </w:r>
      <w:r>
        <w:rPr>
          <w:i w:val="1"/>
          <w:iCs w:val="1"/>
          <w:color w:val="323232"/>
          <w:sz w:val="20"/>
          <w:szCs w:val="20"/>
          <w:rtl w:val="0"/>
          <w:lang w:val="es-ES_tradnl"/>
        </w:rPr>
        <w:t>ó</w:t>
      </w:r>
      <w:r>
        <w:rPr>
          <w:i w:val="1"/>
          <w:iCs w:val="1"/>
          <w:color w:val="323232"/>
          <w:sz w:val="20"/>
          <w:szCs w:val="20"/>
          <w:rtl w:val="0"/>
          <w:lang w:val="es-ES_tradnl"/>
        </w:rPr>
        <w:t>n</w:t>
      </w:r>
      <w:r>
        <w:rPr>
          <w:color w:val="323232"/>
          <w:sz w:val="20"/>
          <w:szCs w:val="20"/>
          <w:rtl w:val="0"/>
          <w:lang w:val="es-ES_tradnl"/>
        </w:rPr>
        <w:t xml:space="preserve"> se expresa  principalmente a partir de dos dimensiones; la etaria y la patol</w:t>
      </w:r>
      <w:r>
        <w:rPr>
          <w:color w:val="323232"/>
          <w:sz w:val="20"/>
          <w:szCs w:val="20"/>
          <w:rtl w:val="0"/>
          <w:lang w:val="es-ES_tradnl"/>
        </w:rPr>
        <w:t>ó</w:t>
      </w:r>
      <w:r>
        <w:rPr>
          <w:color w:val="323232"/>
          <w:sz w:val="20"/>
          <w:szCs w:val="20"/>
          <w:rtl w:val="0"/>
          <w:lang w:val="es-ES_tradnl"/>
        </w:rPr>
        <w:t>gica (trastorno mental o contacto con alg</w:t>
      </w:r>
      <w:r>
        <w:rPr>
          <w:color w:val="323232"/>
          <w:sz w:val="20"/>
          <w:szCs w:val="20"/>
          <w:rtl w:val="0"/>
          <w:lang w:val="es-ES_tradnl"/>
        </w:rPr>
        <w:t>ú</w:t>
      </w:r>
      <w:r>
        <w:rPr>
          <w:color w:val="323232"/>
          <w:sz w:val="20"/>
          <w:szCs w:val="20"/>
          <w:rtl w:val="0"/>
          <w:lang w:val="es-ES_tradnl"/>
        </w:rPr>
        <w:t>n dispositivo psiqui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>trico). En el cual perspectiva de g</w:t>
      </w:r>
      <w:r>
        <w:rPr>
          <w:color w:val="323232"/>
          <w:sz w:val="20"/>
          <w:szCs w:val="20"/>
          <w:rtl w:val="0"/>
          <w:lang w:val="es-ES_tradnl"/>
        </w:rPr>
        <w:t>é</w:t>
      </w:r>
      <w:r>
        <w:rPr>
          <w:color w:val="323232"/>
          <w:sz w:val="20"/>
          <w:szCs w:val="20"/>
          <w:rtl w:val="0"/>
          <w:lang w:val="es-ES_tradnl"/>
        </w:rPr>
        <w:t>nero y la antropolog</w:t>
      </w:r>
      <w:r>
        <w:rPr>
          <w:color w:val="323232"/>
          <w:sz w:val="20"/>
          <w:szCs w:val="20"/>
          <w:rtl w:val="0"/>
          <w:lang w:val="es-ES_tradnl"/>
        </w:rPr>
        <w:t>í</w:t>
      </w:r>
      <w:r>
        <w:rPr>
          <w:color w:val="323232"/>
          <w:sz w:val="20"/>
          <w:szCs w:val="20"/>
          <w:rtl w:val="0"/>
          <w:lang w:val="es-ES_tradnl"/>
        </w:rPr>
        <w:t xml:space="preserve">a feminista nos aporta algunas herramientas </w:t>
      </w:r>
      <w:r>
        <w:rPr>
          <w:color w:val="323232"/>
          <w:sz w:val="20"/>
          <w:szCs w:val="20"/>
          <w:rtl w:val="0"/>
          <w:lang w:val="es-ES_tradnl"/>
        </w:rPr>
        <w:t>ú</w:t>
      </w:r>
      <w:r>
        <w:rPr>
          <w:color w:val="323232"/>
          <w:sz w:val="20"/>
          <w:szCs w:val="20"/>
          <w:rtl w:val="0"/>
          <w:lang w:val="es-ES_tradnl"/>
        </w:rPr>
        <w:t>tiles para llevar a cabo dicho an</w:t>
      </w:r>
      <w:r>
        <w:rPr>
          <w:color w:val="323232"/>
          <w:sz w:val="20"/>
          <w:szCs w:val="20"/>
          <w:rtl w:val="0"/>
          <w:lang w:val="es-ES_tradnl"/>
        </w:rPr>
        <w:t>á</w:t>
      </w:r>
      <w:r>
        <w:rPr>
          <w:color w:val="323232"/>
          <w:sz w:val="20"/>
          <w:szCs w:val="20"/>
          <w:rtl w:val="0"/>
          <w:lang w:val="es-ES_tradnl"/>
        </w:rPr>
        <w:t xml:space="preserve">lisis.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català" w:val="‘“(〔[{〈《「『【⦅〘〖«〝︵︷︹︻︽︿﹁﹃﹇﹙﹛﹝｢"/>
  <w:noLineBreaksBefore w:lang="català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er omissió">
    <w:name w:val="Per omissió"/>
    <w:next w:val="Per omissió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