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1AFCEC" w14:textId="51893AF7" w:rsidR="00FF0B36" w:rsidRPr="000655E6" w:rsidRDefault="000655E6" w:rsidP="00FF0B36">
      <w:pPr>
        <w:jc w:val="center"/>
        <w:rPr>
          <w:b/>
          <w:lang w:val="es-ES_tradnl"/>
        </w:rPr>
      </w:pPr>
      <w:r w:rsidRPr="000655E6">
        <w:rPr>
          <w:b/>
          <w:lang w:val="es-ES_tradnl"/>
        </w:rPr>
        <w:t>XIV Congre</w:t>
      </w:r>
      <w:r w:rsidR="00FF0B36" w:rsidRPr="000655E6">
        <w:rPr>
          <w:b/>
          <w:lang w:val="es-ES_tradnl"/>
        </w:rPr>
        <w:t>s</w:t>
      </w:r>
      <w:r w:rsidRPr="000655E6">
        <w:rPr>
          <w:b/>
          <w:lang w:val="es-ES_tradnl"/>
        </w:rPr>
        <w:t>o de Antropología</w:t>
      </w:r>
      <w:r w:rsidR="00FF0B36" w:rsidRPr="000655E6">
        <w:rPr>
          <w:b/>
          <w:lang w:val="es-ES_tradnl"/>
        </w:rPr>
        <w:t xml:space="preserve"> de la FAAEE</w:t>
      </w:r>
    </w:p>
    <w:p w14:paraId="1065CB72" w14:textId="0836E921" w:rsidR="00FF0B36" w:rsidRPr="000655E6" w:rsidRDefault="000655E6" w:rsidP="00FF0B36">
      <w:pPr>
        <w:jc w:val="center"/>
        <w:rPr>
          <w:b/>
          <w:lang w:val="es-ES_tradnl"/>
        </w:rPr>
      </w:pPr>
      <w:r w:rsidRPr="000655E6">
        <w:rPr>
          <w:b/>
          <w:lang w:val="es-ES_tradnl"/>
        </w:rPr>
        <w:t>Antropologías</w:t>
      </w:r>
      <w:r w:rsidR="00FF0B36" w:rsidRPr="000655E6">
        <w:rPr>
          <w:b/>
          <w:lang w:val="es-ES_tradnl"/>
        </w:rPr>
        <w:t xml:space="preserve"> en </w:t>
      </w:r>
      <w:r w:rsidRPr="000655E6">
        <w:rPr>
          <w:b/>
          <w:lang w:val="es-ES_tradnl"/>
        </w:rPr>
        <w:t>transformación</w:t>
      </w:r>
      <w:r w:rsidR="00FF0B36" w:rsidRPr="000655E6">
        <w:rPr>
          <w:b/>
          <w:lang w:val="es-ES_tradnl"/>
        </w:rPr>
        <w:t xml:space="preserve">: </w:t>
      </w:r>
      <w:r>
        <w:rPr>
          <w:b/>
          <w:lang w:val="es-ES_tradnl"/>
        </w:rPr>
        <w:t>sentidos, compromisos y</w:t>
      </w:r>
      <w:r w:rsidR="00FF0B36" w:rsidRPr="000655E6">
        <w:rPr>
          <w:b/>
          <w:lang w:val="es-ES_tradnl"/>
        </w:rPr>
        <w:t xml:space="preserve"> </w:t>
      </w:r>
      <w:r w:rsidRPr="000655E6">
        <w:rPr>
          <w:b/>
          <w:lang w:val="es-ES_tradnl"/>
        </w:rPr>
        <w:t>utopías</w:t>
      </w:r>
    </w:p>
    <w:p w14:paraId="2C3A827F" w14:textId="77777777" w:rsidR="00FF0B36" w:rsidRPr="000655E6" w:rsidRDefault="00FF0B36" w:rsidP="00FF0B36">
      <w:pPr>
        <w:jc w:val="both"/>
        <w:rPr>
          <w:lang w:val="es-ES_tradnl"/>
        </w:rPr>
      </w:pPr>
    </w:p>
    <w:p w14:paraId="5BAD10CF" w14:textId="49CC4DF8" w:rsidR="00FF0B36" w:rsidRPr="000655E6" w:rsidRDefault="000655E6" w:rsidP="00FF0B36">
      <w:pPr>
        <w:jc w:val="both"/>
        <w:rPr>
          <w:lang w:val="es-ES_tradnl"/>
        </w:rPr>
      </w:pPr>
      <w:r w:rsidRPr="000655E6">
        <w:rPr>
          <w:b/>
          <w:lang w:val="es-ES_tradnl"/>
        </w:rPr>
        <w:t>Simposio</w:t>
      </w:r>
      <w:r w:rsidR="00FF0B36" w:rsidRPr="000655E6">
        <w:rPr>
          <w:b/>
          <w:lang w:val="es-ES_tradnl"/>
        </w:rPr>
        <w:t>:</w:t>
      </w:r>
      <w:r w:rsidR="00FF0B36" w:rsidRPr="000655E6">
        <w:rPr>
          <w:lang w:val="es-ES_tradnl"/>
        </w:rPr>
        <w:t xml:space="preserve"> </w:t>
      </w:r>
      <w:r w:rsidRPr="000655E6">
        <w:rPr>
          <w:rFonts w:ascii="Calibri" w:hAnsi="Calibri"/>
          <w:lang w:val="es-ES_tradnl"/>
        </w:rPr>
        <w:t>Perspectivas</w:t>
      </w:r>
      <w:r w:rsidR="00FF0B36" w:rsidRPr="000655E6">
        <w:rPr>
          <w:rFonts w:ascii="Calibri" w:hAnsi="Calibri"/>
          <w:lang w:val="es-ES_tradnl"/>
        </w:rPr>
        <w:t xml:space="preserve"> </w:t>
      </w:r>
      <w:r w:rsidRPr="000655E6">
        <w:rPr>
          <w:rFonts w:ascii="Calibri" w:hAnsi="Calibri"/>
          <w:lang w:val="es-ES_tradnl"/>
        </w:rPr>
        <w:t>contemporáneas</w:t>
      </w:r>
      <w:r w:rsidR="00FF0B36" w:rsidRPr="000655E6">
        <w:rPr>
          <w:rFonts w:ascii="Calibri" w:hAnsi="Calibri"/>
          <w:lang w:val="es-ES_tradnl"/>
        </w:rPr>
        <w:t xml:space="preserve"> sobre </w:t>
      </w:r>
      <w:r>
        <w:rPr>
          <w:rFonts w:ascii="Calibri" w:hAnsi="Calibri"/>
          <w:lang w:val="es-ES_tradnl"/>
        </w:rPr>
        <w:t>derechos</w:t>
      </w:r>
      <w:r w:rsidR="00FF0B36" w:rsidRPr="000655E6">
        <w:rPr>
          <w:rFonts w:ascii="Calibri" w:hAnsi="Calibri"/>
          <w:lang w:val="es-ES_tradnl"/>
        </w:rPr>
        <w:t xml:space="preserve"> </w:t>
      </w:r>
      <w:r>
        <w:rPr>
          <w:rFonts w:ascii="Calibri" w:hAnsi="Calibri"/>
          <w:lang w:val="es-ES_tradnl"/>
        </w:rPr>
        <w:t>humanos</w:t>
      </w:r>
      <w:r w:rsidR="00FF0B36" w:rsidRPr="000655E6">
        <w:rPr>
          <w:lang w:val="es-ES_tradnl"/>
        </w:rPr>
        <w:t xml:space="preserve"> </w:t>
      </w:r>
    </w:p>
    <w:p w14:paraId="196ACAC4" w14:textId="77777777" w:rsidR="00FF0B36" w:rsidRPr="000655E6" w:rsidRDefault="00FF0B36" w:rsidP="00FF0B36">
      <w:pPr>
        <w:jc w:val="both"/>
        <w:rPr>
          <w:lang w:val="es-ES_tradnl"/>
        </w:rPr>
      </w:pPr>
    </w:p>
    <w:p w14:paraId="30F17475" w14:textId="25860F6C" w:rsidR="009108A0" w:rsidRPr="000655E6" w:rsidRDefault="000655E6" w:rsidP="00FF0B36">
      <w:pPr>
        <w:jc w:val="both"/>
        <w:rPr>
          <w:lang w:val="es-ES_tradnl"/>
        </w:rPr>
      </w:pPr>
      <w:r w:rsidRPr="000655E6">
        <w:rPr>
          <w:b/>
          <w:lang w:val="es-ES_tradnl"/>
        </w:rPr>
        <w:t>Título</w:t>
      </w:r>
      <w:r w:rsidR="00FF0B36" w:rsidRPr="000655E6">
        <w:rPr>
          <w:b/>
          <w:lang w:val="es-ES_tradnl"/>
        </w:rPr>
        <w:t>:</w:t>
      </w:r>
      <w:r w:rsidR="00FF0B36" w:rsidRPr="000655E6">
        <w:rPr>
          <w:lang w:val="es-ES_tradnl"/>
        </w:rPr>
        <w:t xml:space="preserve"> </w:t>
      </w:r>
      <w:r>
        <w:rPr>
          <w:rFonts w:ascii="Calibri" w:hAnsi="Calibri"/>
          <w:lang w:val="es-ES_tradnl"/>
        </w:rPr>
        <w:t>La educación de las mujeres en Nepal:</w:t>
      </w:r>
      <w:r w:rsidR="00FF0B36" w:rsidRPr="000655E6">
        <w:rPr>
          <w:rFonts w:ascii="Calibri" w:hAnsi="Calibri"/>
          <w:lang w:val="es-ES_tradnl"/>
        </w:rPr>
        <w:t xml:space="preserve"> </w:t>
      </w:r>
      <w:r>
        <w:rPr>
          <w:rFonts w:ascii="Calibri" w:hAnsi="Calibri"/>
          <w:lang w:val="es-ES_tradnl"/>
        </w:rPr>
        <w:t xml:space="preserve">derechos y desigualdades en y a través del desarrollo </w:t>
      </w:r>
    </w:p>
    <w:p w14:paraId="3A0D6945" w14:textId="77777777" w:rsidR="00FF0B36" w:rsidRPr="000655E6" w:rsidRDefault="00FF0B36" w:rsidP="00FF0B36">
      <w:pPr>
        <w:pBdr>
          <w:bottom w:val="single" w:sz="6" w:space="1" w:color="auto"/>
        </w:pBdr>
        <w:jc w:val="both"/>
        <w:rPr>
          <w:lang w:val="es-ES_tradnl"/>
        </w:rPr>
      </w:pPr>
    </w:p>
    <w:p w14:paraId="2F8C61D2" w14:textId="77777777" w:rsidR="00FF0B36" w:rsidRPr="000655E6" w:rsidRDefault="00FF0B36" w:rsidP="00FF0B36">
      <w:pPr>
        <w:jc w:val="both"/>
        <w:rPr>
          <w:lang w:val="es-ES_tradnl"/>
        </w:rPr>
      </w:pPr>
    </w:p>
    <w:p w14:paraId="37918264" w14:textId="77777777" w:rsidR="00FF0B36" w:rsidRPr="000655E6" w:rsidRDefault="00FF0B36" w:rsidP="00FF0B36">
      <w:pPr>
        <w:jc w:val="both"/>
        <w:rPr>
          <w:b/>
          <w:lang w:val="es-ES_tradnl"/>
        </w:rPr>
      </w:pPr>
      <w:proofErr w:type="spellStart"/>
      <w:r w:rsidRPr="000655E6">
        <w:rPr>
          <w:b/>
          <w:lang w:val="es-ES_tradnl"/>
        </w:rPr>
        <w:t>Abstract</w:t>
      </w:r>
      <w:proofErr w:type="spellEnd"/>
    </w:p>
    <w:p w14:paraId="64440CA5" w14:textId="77777777" w:rsidR="00FF0B36" w:rsidRPr="000655E6" w:rsidRDefault="00FF0B36">
      <w:pPr>
        <w:rPr>
          <w:lang w:val="es-ES_tradnl"/>
        </w:rPr>
      </w:pPr>
    </w:p>
    <w:p w14:paraId="58F40E9A" w14:textId="50580D21" w:rsidR="000655E6" w:rsidRDefault="000655E6" w:rsidP="00FF76DD">
      <w:pPr>
        <w:jc w:val="both"/>
        <w:rPr>
          <w:rFonts w:ascii="Calibri" w:hAnsi="Calibri"/>
          <w:lang w:val="es-ES_tradnl"/>
        </w:rPr>
      </w:pPr>
      <w:r>
        <w:rPr>
          <w:rFonts w:ascii="Calibri" w:hAnsi="Calibri"/>
          <w:lang w:val="es-ES_tradnl"/>
        </w:rPr>
        <w:t xml:space="preserve">Nepal es uno de los países mas pobres de la Asia, según los estándares den Banco Mundial, y con una brecha de género de las más marcadas </w:t>
      </w:r>
      <w:r w:rsidR="00FF76DD" w:rsidRPr="000655E6">
        <w:rPr>
          <w:rFonts w:ascii="Calibri" w:hAnsi="Calibri"/>
          <w:lang w:val="es-ES_tradnl"/>
        </w:rPr>
        <w:fldChar w:fldCharType="begin" w:fldLock="1"/>
      </w:r>
      <w:r w:rsidR="00FF76DD" w:rsidRPr="000655E6">
        <w:rPr>
          <w:rFonts w:ascii="Calibri" w:hAnsi="Calibri"/>
          <w:lang w:val="es-ES_tradnl"/>
        </w:rPr>
        <w:instrText>ADDIN CSL_CITATION { "citationItems" : [ { "id" : "ITEM-1", "itemData" : { "ISBN" : "9789295044432", "author" : [ { "dropping-particle" : "", "family" : "World Economic Forum", "given" : "", "non-dropping-particle" : "", "parse-names" : false, "suffix" : "" } ], "id" : "ITEM-1", "issued" : { "date-parts" : [ [ "2013" ] ] }, "note" : "Document del World Economic Forum, 136 pa\u00efsos: \n- Mesurant el Gap: 4 \u00e0rees salut, educaci\u00f3, economia i pol\u00edtica.\nDesultats: r\u00e0nking, ecoluci\u00f3 per anys, per income, per subindex, \n\n\n- Country Profiles\n\n\nCr\u00edtica: \n- desenvolupament mesurat sota la premisa del capital hum\u00e0 per la competitivitat, on l'efici\u00e8ncia \u00e9s un element clau. Qu\u00e8 s'adapta m\u00e9s a la l\u00f2gica capitalista. \n- empoderament per gesti\u00f3 m\u00e9s eficient dels recursos, no per drets.", "number-of-pages" : "388", "publisher-place" : "Geneva", "title" : "The Global Gender Gap Report 2013", "type" : "report" }, "uris" : [ "http://www.mendeley.com/documents/?uuid=bd7252b5-49d3-4419-8e3a-43127c0bbcfd" ] } ], "mendeley" : { "formattedCitation" : "(World Economic Forum, 2013)", "plainTextFormattedCitation" : "(World Economic Forum, 2013)", "previouslyFormattedCitation" : "(World Economic Forum, 2013)" }, "properties" : { "noteIndex" : 0 }, "schema" : "https://github.com/citation-style-language/schema/raw/master/csl-citation.json" }</w:instrText>
      </w:r>
      <w:r w:rsidR="00FF76DD" w:rsidRPr="000655E6">
        <w:rPr>
          <w:rFonts w:ascii="Calibri" w:hAnsi="Calibri"/>
          <w:lang w:val="es-ES_tradnl"/>
        </w:rPr>
        <w:fldChar w:fldCharType="separate"/>
      </w:r>
      <w:r w:rsidR="00FF76DD" w:rsidRPr="000655E6">
        <w:rPr>
          <w:rFonts w:ascii="Calibri" w:hAnsi="Calibri"/>
          <w:noProof/>
          <w:lang w:val="es-ES_tradnl"/>
        </w:rPr>
        <w:t>(World Economic Forum, 2013)</w:t>
      </w:r>
      <w:r w:rsidR="00FF76DD" w:rsidRPr="000655E6">
        <w:rPr>
          <w:rFonts w:ascii="Calibri" w:hAnsi="Calibri"/>
          <w:lang w:val="es-ES_tradnl"/>
        </w:rPr>
        <w:fldChar w:fldCharType="end"/>
      </w:r>
      <w:r w:rsidR="00FF76DD" w:rsidRPr="000655E6">
        <w:rPr>
          <w:rFonts w:ascii="Calibri" w:hAnsi="Calibri"/>
          <w:lang w:val="es-ES_tradnl"/>
        </w:rPr>
        <w:t>.</w:t>
      </w:r>
      <w:r>
        <w:rPr>
          <w:rFonts w:ascii="Calibri" w:hAnsi="Calibri"/>
          <w:lang w:val="es-ES_tradnl"/>
        </w:rPr>
        <w:t xml:space="preserve"> Además, el país </w:t>
      </w:r>
      <w:r w:rsidR="00E617C1">
        <w:rPr>
          <w:rFonts w:ascii="Calibri" w:hAnsi="Calibri"/>
          <w:lang w:val="es-ES_tradnl"/>
        </w:rPr>
        <w:t xml:space="preserve">se ha convertido y en un caso paradigmático en materia de educación y género, con una tasa de escolarización por debajo del 70% y un 10% de brecha de género. Unicef ha priorizado Nepal como uno de los países con más necesidades de intervención, situación que se ha acentuado después de los terremotos del pasado 2015. </w:t>
      </w:r>
      <w:r>
        <w:rPr>
          <w:rFonts w:ascii="Calibri" w:hAnsi="Calibri"/>
          <w:lang w:val="es-ES_tradnl"/>
        </w:rPr>
        <w:t xml:space="preserve"> </w:t>
      </w:r>
    </w:p>
    <w:p w14:paraId="5CFC97DC" w14:textId="77777777" w:rsidR="00E617C1" w:rsidRDefault="00E617C1" w:rsidP="00FF76DD">
      <w:pPr>
        <w:jc w:val="both"/>
        <w:rPr>
          <w:rFonts w:ascii="Calibri" w:hAnsi="Calibri"/>
          <w:lang w:val="es-ES_tradnl"/>
        </w:rPr>
      </w:pPr>
    </w:p>
    <w:p w14:paraId="7F703C74" w14:textId="2D8622FB" w:rsidR="00FF1FBF" w:rsidRDefault="00E617C1" w:rsidP="00FF76DD">
      <w:pPr>
        <w:jc w:val="both"/>
        <w:rPr>
          <w:rFonts w:ascii="Calibri" w:hAnsi="Calibri"/>
          <w:lang w:val="es-ES_tradnl"/>
        </w:rPr>
      </w:pPr>
      <w:r>
        <w:rPr>
          <w:rFonts w:ascii="Calibri" w:hAnsi="Calibri"/>
          <w:lang w:val="es-ES_tradnl"/>
        </w:rPr>
        <w:t>En este contexto se generan dinámicas particularmente interesantes de formulación y reformulación de discursos en relación a los derechos humanos y los imaginarios del desarrollo (</w:t>
      </w:r>
      <w:proofErr w:type="spellStart"/>
      <w:r>
        <w:rPr>
          <w:rFonts w:ascii="Calibri" w:hAnsi="Calibri"/>
          <w:i/>
          <w:lang w:val="es-ES_tradnl"/>
        </w:rPr>
        <w:t>bikas</w:t>
      </w:r>
      <w:proofErr w:type="spellEnd"/>
      <w:r>
        <w:rPr>
          <w:rFonts w:ascii="Calibri" w:hAnsi="Calibri"/>
          <w:i/>
          <w:lang w:val="es-ES_tradnl"/>
        </w:rPr>
        <w:t xml:space="preserve"> </w:t>
      </w:r>
      <w:r>
        <w:rPr>
          <w:rFonts w:ascii="Calibri" w:hAnsi="Calibri"/>
          <w:lang w:val="es-ES_tradnl"/>
        </w:rPr>
        <w:t>en nepalí). P</w:t>
      </w:r>
      <w:r w:rsidR="008E5508">
        <w:rPr>
          <w:rFonts w:ascii="Calibri" w:hAnsi="Calibri"/>
          <w:lang w:val="es-ES_tradnl"/>
        </w:rPr>
        <w:t>rimeramente</w:t>
      </w:r>
      <w:r>
        <w:rPr>
          <w:rFonts w:ascii="Calibri" w:hAnsi="Calibri"/>
          <w:lang w:val="es-ES_tradnl"/>
        </w:rPr>
        <w:t>, desde una perspectiva macro-teó</w:t>
      </w:r>
      <w:r w:rsidR="008E5508">
        <w:rPr>
          <w:rFonts w:ascii="Calibri" w:hAnsi="Calibri"/>
          <w:lang w:val="es-ES_tradnl"/>
        </w:rPr>
        <w:t xml:space="preserve">rica, donde se manifiestan las contradicciones entre los discursos más clásicos de acceso a la educación como derecho universal y herramienta básica para la emancipación de las mujeres </w:t>
      </w:r>
      <w:r w:rsidR="00D6140A" w:rsidRPr="000655E6">
        <w:rPr>
          <w:rFonts w:ascii="Calibri" w:hAnsi="Calibri"/>
          <w:lang w:val="es-ES_tradnl"/>
        </w:rPr>
        <w:fldChar w:fldCharType="begin" w:fldLock="1"/>
      </w:r>
      <w:r w:rsidR="00D6140A" w:rsidRPr="000655E6">
        <w:rPr>
          <w:rFonts w:ascii="Calibri" w:hAnsi="Calibri"/>
          <w:lang w:val="es-ES_tradnl"/>
        </w:rPr>
        <w:instrText>ADDIN CSL_CITATION { "citationItems" : [ { "id" : "ITEM-1", "itemData" : { "author" : [ { "dropping-particle" : "", "family" : "United Nations", "given" : "", "non-dropping-particle" : "", "parse-names" : false, "suffix" : "" } ], "id" : "ITEM-1", "issued" : { "date-parts" : [ [ "2010" ] ] }, "title" : "The Millennium Development Goals Report", "type" : "report" }, "uris" : [ "http://www.mendeley.com/documents/?uuid=c7a7418b-6a60-4ac3-ab98-13cd6c72f0e3" ] }, { "id" : "ITEM-2", "itemData" : { "author" : [ { "dropping-particle" : "", "family" : "UNESCO", "given" : "", "non-dropping-particle" : "", "parse-names" : false, "suffix" : "" } ], "id" : "ITEM-2", "issue" : "April", "issued" : { "date-parts" : [ [ "2000" ] ] }, "number-of-pages" : "26-28", "publisher-place" : "Dakar, Senegal", "title" : "The Dakar Framework for Action", "type" : "report" }, "uris" : [ "http://www.mendeley.com/documents/?uuid=4e4d144a-52b7-458c-b234-3342e833d9d8" ] }, { "id" : "ITEM-3", "itemData" : { "ISBN" : "9789295044432", "author" : [ { "dropping-particle" : "", "family" : "World Economic Forum", "given" : "", "non-dropping-particle" : "", "parse-names" : false, "suffix" : "" } ], "id" : "ITEM-3", "issued" : { "date-parts" : [ [ "2013" ] ] }, "note" : "Document del World Economic Forum, 136 pa\u00efsos: \n- Mesurant el Gap: 4 \u00e0rees salut, educaci\u00f3, economia i pol\u00edtica.\nDesultats: r\u00e0nking, ecoluci\u00f3 per anys, per income, per subindex, \n\n\n- Country Profiles\n\n\nCr\u00edtica: \n- desenvolupament mesurat sota la premisa del capital hum\u00e0 per la competitivitat, on l'efici\u00e8ncia \u00e9s un element clau. Qu\u00e8 s'adapta m\u00e9s a la l\u00f2gica capitalista. \n- empoderament per gesti\u00f3 m\u00e9s eficient dels recursos, no per drets.", "number-of-pages" : "388", "publisher-place" : "Geneva", "title" : "The Global Gender Gap Report 2013", "type" : "report" }, "uris" : [ "http://www.mendeley.com/documents/?uuid=bd7252b5-49d3-4419-8e3a-43127c0bbcfd" ] } ], "mendeley" : { "formattedCitation" : "(UNESCO, 2000; United Nations, 2010; World Economic Forum, 2013)", "plainTextFormattedCitation" : "(UNESCO, 2000; United Nations, 2010; World Economic Forum, 2013)", "previouslyFormattedCitation" : "(UNESCO, 2000; United Nations, 2010; World Economic Forum, 2013)" }, "properties" : { "noteIndex" : 0 }, "schema" : "https://github.com/citation-style-language/schema/raw/master/csl-citation.json" }</w:instrText>
      </w:r>
      <w:r w:rsidR="00D6140A" w:rsidRPr="000655E6">
        <w:rPr>
          <w:rFonts w:ascii="Calibri" w:hAnsi="Calibri"/>
          <w:lang w:val="es-ES_tradnl"/>
        </w:rPr>
        <w:fldChar w:fldCharType="separate"/>
      </w:r>
      <w:r w:rsidR="00D6140A" w:rsidRPr="000655E6">
        <w:rPr>
          <w:rFonts w:ascii="Calibri" w:hAnsi="Calibri"/>
          <w:noProof/>
          <w:lang w:val="es-ES_tradnl"/>
        </w:rPr>
        <w:t>(UNESCO, 2000; United Nations, 2010; World Economic Forum, 2013)</w:t>
      </w:r>
      <w:r w:rsidR="00D6140A" w:rsidRPr="000655E6">
        <w:rPr>
          <w:rFonts w:ascii="Calibri" w:hAnsi="Calibri"/>
          <w:lang w:val="es-ES_tradnl"/>
        </w:rPr>
        <w:fldChar w:fldCharType="end"/>
      </w:r>
      <w:r w:rsidR="008E5508">
        <w:rPr>
          <w:rFonts w:ascii="Calibri" w:hAnsi="Calibri"/>
          <w:lang w:val="es-ES_tradnl"/>
        </w:rPr>
        <w:t xml:space="preserve"> y otras aproximaciones críticas que rechazan el uso de indicadores tan globales y homogéneos y reclaman la atención en los contextos locales particularmente </w:t>
      </w:r>
      <w:r w:rsidR="00FF1FBF">
        <w:rPr>
          <w:rFonts w:ascii="Calibri" w:hAnsi="Calibri"/>
          <w:lang w:val="es-ES_tradnl"/>
        </w:rPr>
        <w:t xml:space="preserve">específicos y el impactos de las políticas en ellos </w:t>
      </w:r>
      <w:r w:rsidR="00A13A4D" w:rsidRPr="000655E6">
        <w:rPr>
          <w:rFonts w:ascii="Calibri" w:hAnsi="Calibri"/>
          <w:lang w:val="es-ES_tradnl"/>
        </w:rPr>
        <w:fldChar w:fldCharType="begin" w:fldLock="1"/>
      </w:r>
      <w:r w:rsidR="00A13A4D" w:rsidRPr="000655E6">
        <w:rPr>
          <w:rFonts w:ascii="Calibri" w:hAnsi="Calibri"/>
          <w:lang w:val="es-ES_tradnl"/>
        </w:rPr>
        <w:instrText>ADDIN CSL_CITATION { "citationItems" : [ { "id" : "ITEM-1", "itemData" : { "ISBN" : "0-86232-822-5", "author" : [ { "dropping-particle" : "", "family" : "Shiva", "given" : "Vandana", "non-dropping-particle" : "", "parse-names" : false, "suffix" : "" } ], "chapter-number" : "1", "container-title" : "Staying Alive, Women, Ecology and Development", "edition" : "6th", "id" : "ITEM-1", "issued" : { "date-parts" : [ [ "1989" ] ] }, "page" : "1-13", "publisher" : "Redwood Bks", "publisher-place" : "Trowbridge, UK", "title" : "Development, ecology and women", "type" : "chapter" }, "uris" : [ "http://www.mendeley.com/documents/?uuid=36c72900-e175-4f88-868f-b98544e60f48" ] }, { "id" : "ITEM-2", "itemData" : { "DOI" : "10.1080/03057925.2010.490363", "ISSN" : "0305-7925", "author" : [ { "dropping-particle" : "", "family" : "North", "given" : "Amy", "non-dropping-particle" : "", "parse-names" : false, "suffix" : "" } ], "container-title" : "Compare: A Journal of Comparative and International Education", "id" : "ITEM-2", "issue" : "4", "issued" : { "date-parts" : [ [ "2010", "7" ] ] }, "note" : "More substantive notion of gender equality work linked to activism on women\u2019s rights is highlighted as a considerable challenge.\nEntrevistes amb les persones participants en les trobades de les organitzacions internacionas, actives en el EFA i MDG. \n- Mainstreaming de g\u00e8nere: alguns avan\u00e7os per\u00f2 proc\u00e9s fragil, narrow interpretation \n- Necessitat: beyond gender parity i cap a equality i empoderament (Beijing)", "page" : "425-440", "title" : "MDG 3 and the negotiation of gender in international education organisations", "type" : "article-journal", "volume" : "40" }, "uris" : [ "http://www.mendeley.com/documents/?uuid=00f54f19-30ce-41ea-99d4-a2fd3109149a" ] }, { "id" : "ITEM-3", "itemData" : { "DOI" : "10.1016/j.ijedudev.2004.11.015", "ISSN" : "07380593", "abstract" : "The Millennium Development Goal (MDG) for gender equality in education by 2005 hasbeen criticised for its grandiose ambition, its failure to adequately conceptualise the nature of gender inequality or the diverse forms this takes, the inadequate policies developed to put the goal into practice and the limited measurements used for monitoring. The paper arguesfor a strategic defence of the MDG asan opportunity to think more widely about what the contents of rightsin education are and how gender equality might be advanced. Drawing on the capability approach of Amartya Sen and Martha Nussbaum it considers gender equality in education in relation to wellbeing and agency freedom and achievement. Utilising Thomas Pogge\u2019s taxonomy of institutional conditions for human flourishing the paper considers how global, national and local policy might better measure gender equality in pursuit of the MDG. r 2004 Elsevier Ltd. All rights reserved. 1.", "author" : [ { "dropping-particle" : "", "family" : "Unterhalter", "given" : "Elaine", "non-dropping-particle" : "", "parse-names" : false, "suffix" : "" } ], "container-title" : "International Journal of Educational Development", "id" : "ITEM-3", "issue" : "2", "issued" : { "date-parts" : [ [ "2005", "3" ] ] }, "note" : "Dimensions de la desigualtat de g\u00e8nere en l'educaci\u00f3 de forma global. \nConjuntura hist\u00f2rica dels MDG's i cr\u00edtiques: etnocentrisme, centrat en els outcomes i no en els processos. \nCapabilities approach, com s'aplica en l'educaci\u00f3? (Sen i Nausbaum) i situacions institucionals (Pogge, 2002) exemplificades en g\u00e8nere i recomanacions per l'actuaci\u00f3.", "page" : "111-122", "title" : "Global inequality, capabilities, social justice: The millennium development goal for gender equality in education", "type" : "article-journal", "volume" : "25" }, "uris" : [ "http://www.mendeley.com/documents/?uuid=cda00d21-a0c9-4496-8444-f9fce24e91ea" ] }, { "id" : "ITEM-4", "itemData" : { "DOI" : "10.1080/03050068.2011.541675", "ISSN" : "0305-0068", "abstract" : "This article sets out to re-conceptualise gender equality in education quality. Four approaches to conceptualising gender equitable education quality are identified in the literature: human capital theory with a focus on parity and sameness for all; a human rights and power perspective, within which gender equality is viewed as transforming unjust structures; postcolonial critiques, which celebrate and recognise difference; and the view of development as social action for empowerment with gender intersecting with other inequalities. The framework is applied to an analysis of a programme of research on education quality, EdQual. The article maintains that for education quality at the level of classrooms to move beyond fairness of distribution of resources, to consider the nature of educational experience for boys and girls, requires a deeper questioning of the gender biased nature of schooling. It also indicates that education quality demands an analysis of gender dynamics in the wider social context of the lives of boys and girls. These findings have strong implications for large research programmes.", "author" : [ { "dropping-particle" : "", "family" : "Aikman", "given" : "S", "non-dropping-particle" : "", "parse-names" : false, "suffix" : "" }, { "dropping-particle" : "", "family" : "Halai", "given" : "A", "non-dropping-particle" : "", "parse-names" : false, "suffix" : "" }, { "dropping-particle" : "", "family" : "Rubagiza", "given" : "J", "non-dropping-particle" : "", "parse-names" : false, "suffix" : "" } ], "container-title" : "Comparative Education", "id" : "ITEM-4", "issue" : "1", "issued" : { "date-parts" : [ [ "2011", "2" ] ] }, "note" : "Ens ofereix una descripci\u00f3 de els enfocaments existents en l\u2019abordatge de la perspectiva de g\u00e8nere en relaci\u00f3 a l\u2019educaci\u00f3. Es reflexiona sobre les potencialitats i limitacions de cada un. Al mateix temps, s\u2019apliquen aquests enfocaments en l\u2019an\u00e0lisi d\u2019un programa concret: el EdQual, dins el moviment de Education for All de la UE.", "page" : "45-60", "title" : "Conceptualising gender equality in research on education quality", "type" : "article-journal", "volume" : "47" }, "uris" : [ "http://www.mendeley.com/documents/?uuid=2403c132-15c2-43f9-8aec-bfb5a3f6faf5" ] }, { "id" : "ITEM-5", "itemData" : { "author" : [ { "dropping-particle" : "", "family" : "Nieuwenhuys", "given" : "Olga", "non-dropping-particle" : "", "parse-names" : false, "suffix" : "" } ], "container-title" : "Annual Review of Anthropology", "id" : "ITEM-5", "issued" : { "date-parts" : [ [ "1996" ] ] }, "page" : "237-251", "title" : "The paradox of child labor and anthropology", "type" : "article-journal", "volume" : "25" }, "uris" : [ "http://www.mendeley.com/documents/?uuid=5a38f5e1-0dc3-4f41-ad1b-5bcdb4cfc288" ] } ], "mendeley" : { "formattedCitation" : "(Aikman, Halai, &amp; Rubagiza, 2011; Nieuwenhuys, 1996; North, 2010; Shiva, 1989; Unterhalter, 2005)", "plainTextFormattedCitation" : "(Aikman, Halai, &amp; Rubagiza, 2011; Nieuwenhuys, 1996; North, 2010; Shiva, 1989; Unterhalter, 2005)", "previouslyFormattedCitation" : "(Aikman, Halai, &amp; Rubagiza, 2011; Nieuwenhuys, 1996; North, 2010; Shiva, 1989; Unterhalter, 2005)" }, "properties" : { "noteIndex" : 0 }, "schema" : "https://github.com/citation-style-language/schema/raw/master/csl-citation.json" }</w:instrText>
      </w:r>
      <w:r w:rsidR="00A13A4D" w:rsidRPr="000655E6">
        <w:rPr>
          <w:rFonts w:ascii="Calibri" w:hAnsi="Calibri"/>
          <w:lang w:val="es-ES_tradnl"/>
        </w:rPr>
        <w:fldChar w:fldCharType="separate"/>
      </w:r>
      <w:r w:rsidR="00A13A4D" w:rsidRPr="000655E6">
        <w:rPr>
          <w:rFonts w:ascii="Calibri" w:hAnsi="Calibri"/>
          <w:noProof/>
          <w:lang w:val="es-ES_tradnl"/>
        </w:rPr>
        <w:t>(Aikman, Halai, &amp; Rubagiza, 2011; Nieuwenhuys, 1996; North, 2010; Shiva, 1989; Unterhalter, 2005)</w:t>
      </w:r>
      <w:r w:rsidR="00A13A4D" w:rsidRPr="000655E6">
        <w:rPr>
          <w:rFonts w:ascii="Calibri" w:hAnsi="Calibri"/>
          <w:lang w:val="es-ES_tradnl"/>
        </w:rPr>
        <w:fldChar w:fldCharType="end"/>
      </w:r>
      <w:r w:rsidR="00A13A4D" w:rsidRPr="000655E6">
        <w:rPr>
          <w:rFonts w:ascii="Calibri" w:hAnsi="Calibri"/>
          <w:lang w:val="es-ES_tradnl"/>
        </w:rPr>
        <w:t xml:space="preserve">. </w:t>
      </w:r>
      <w:r w:rsidR="000A15B0" w:rsidRPr="000655E6">
        <w:rPr>
          <w:rFonts w:ascii="Calibri" w:hAnsi="Calibri"/>
          <w:lang w:val="es-ES_tradnl"/>
        </w:rPr>
        <w:t xml:space="preserve"> </w:t>
      </w:r>
      <w:r w:rsidR="00FF1FBF">
        <w:rPr>
          <w:rFonts w:ascii="Calibri" w:hAnsi="Calibri"/>
          <w:lang w:val="es-ES_tradnl"/>
        </w:rPr>
        <w:t xml:space="preserve">Por otra parte, desde un punto de vista etnográfico, que nos permite explorar las dinámicas discursivas de las mujeres y las practicas que se generan en relación al derecho a la educación, observando como estas están imbricadas en la activación y desactivación de otros derechos en contextos locales complejos. </w:t>
      </w:r>
    </w:p>
    <w:p w14:paraId="48A99A02" w14:textId="77777777" w:rsidR="00FF1FBF" w:rsidRDefault="00FF1FBF" w:rsidP="00FF76DD">
      <w:pPr>
        <w:jc w:val="both"/>
        <w:rPr>
          <w:rFonts w:ascii="Calibri" w:hAnsi="Calibri"/>
          <w:lang w:val="es-ES_tradnl"/>
        </w:rPr>
      </w:pPr>
    </w:p>
    <w:p w14:paraId="0DF8D260" w14:textId="01D67441" w:rsidR="00FF1FBF" w:rsidRPr="00FF1FBF" w:rsidRDefault="00FF1FBF" w:rsidP="00FF76DD">
      <w:pPr>
        <w:jc w:val="both"/>
        <w:rPr>
          <w:rFonts w:ascii="Calibri" w:hAnsi="Calibri"/>
          <w:lang w:val="es-ES_tradnl"/>
        </w:rPr>
      </w:pPr>
      <w:r>
        <w:rPr>
          <w:rFonts w:ascii="Calibri" w:hAnsi="Calibri"/>
          <w:lang w:val="es-ES_tradnl"/>
        </w:rPr>
        <w:t xml:space="preserve">Este propuesta presenta un estudio etnográfico entre </w:t>
      </w:r>
      <w:r>
        <w:rPr>
          <w:rFonts w:ascii="Calibri" w:hAnsi="Calibri"/>
          <w:i/>
          <w:lang w:val="es-ES_tradnl"/>
        </w:rPr>
        <w:t xml:space="preserve">Sherpa </w:t>
      </w:r>
      <w:r>
        <w:rPr>
          <w:rFonts w:ascii="Calibri" w:hAnsi="Calibri"/>
          <w:lang w:val="es-ES_tradnl"/>
        </w:rPr>
        <w:t>en el Himalaya nepalí, que analiza la relación entre la escolarización y la producción y reproducción de los regímenes de género, así como el im</w:t>
      </w:r>
      <w:bookmarkStart w:id="0" w:name="_GoBack"/>
      <w:bookmarkEnd w:id="0"/>
      <w:r>
        <w:rPr>
          <w:rFonts w:ascii="Calibri" w:hAnsi="Calibri"/>
          <w:lang w:val="es-ES_tradnl"/>
        </w:rPr>
        <w:t xml:space="preserve">pacto de la escolarización como herramienta para el desarrollo. Los resultados muestran las negociaciones entre los diferentes agentes sociales e individuos, las jerarquías simbólicas que representan, así como las relaciones de poder que suponen los procesos de producción y reproducción de discursos sobre derechos humanos y desarrollo en la comunidad. </w:t>
      </w:r>
    </w:p>
    <w:p w14:paraId="290361BB" w14:textId="77777777" w:rsidR="00FF1FBF" w:rsidRDefault="00FF1FBF" w:rsidP="00FF76DD">
      <w:pPr>
        <w:jc w:val="both"/>
        <w:rPr>
          <w:rFonts w:ascii="Calibri" w:hAnsi="Calibri"/>
          <w:lang w:val="es-ES_tradnl"/>
        </w:rPr>
      </w:pPr>
    </w:p>
    <w:p w14:paraId="0660BEA7" w14:textId="77777777" w:rsidR="007A5808" w:rsidRPr="000655E6" w:rsidRDefault="007A5808" w:rsidP="00FF76DD">
      <w:pPr>
        <w:jc w:val="both"/>
        <w:rPr>
          <w:rFonts w:ascii="Calibri" w:hAnsi="Calibri"/>
          <w:lang w:val="es-ES_tradnl"/>
        </w:rPr>
      </w:pPr>
    </w:p>
    <w:p w14:paraId="487EB055" w14:textId="77777777" w:rsidR="007A5808" w:rsidRPr="000655E6" w:rsidRDefault="007A5808" w:rsidP="00FF76DD">
      <w:pPr>
        <w:jc w:val="both"/>
        <w:rPr>
          <w:rFonts w:ascii="Calibri" w:hAnsi="Calibri"/>
          <w:lang w:val="es-ES_tradnl"/>
        </w:rPr>
      </w:pPr>
    </w:p>
    <w:sectPr w:rsidR="007A5808" w:rsidRPr="000655E6" w:rsidSect="000A6614">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B36"/>
    <w:rsid w:val="000655E6"/>
    <w:rsid w:val="000A15B0"/>
    <w:rsid w:val="000A6614"/>
    <w:rsid w:val="00424AB5"/>
    <w:rsid w:val="004E0FDB"/>
    <w:rsid w:val="00610644"/>
    <w:rsid w:val="0069486D"/>
    <w:rsid w:val="006A750D"/>
    <w:rsid w:val="00731E56"/>
    <w:rsid w:val="0074399C"/>
    <w:rsid w:val="007A5808"/>
    <w:rsid w:val="008966E3"/>
    <w:rsid w:val="008E5508"/>
    <w:rsid w:val="0091032B"/>
    <w:rsid w:val="009108A0"/>
    <w:rsid w:val="00A13A4D"/>
    <w:rsid w:val="00AC06FB"/>
    <w:rsid w:val="00D6140A"/>
    <w:rsid w:val="00E0367D"/>
    <w:rsid w:val="00E617C1"/>
    <w:rsid w:val="00E96505"/>
    <w:rsid w:val="00F61F56"/>
    <w:rsid w:val="00FF0B36"/>
    <w:rsid w:val="00FF1FBF"/>
    <w:rsid w:val="00FF76D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4916AE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2099</Words>
  <Characters>11547</Characters>
  <Application>Microsoft Macintosh Word</Application>
  <DocSecurity>0</DocSecurity>
  <Lines>96</Lines>
  <Paragraphs>27</Paragraphs>
  <ScaleCrop>false</ScaleCrop>
  <Company/>
  <LinksUpToDate>false</LinksUpToDate>
  <CharactersWithSpaces>13619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Alba Castellsagué Bonada</dc:creator>
  <cp:keywords/>
  <dc:description/>
  <cp:lastModifiedBy>Alba Castellsagué Bonada</cp:lastModifiedBy>
  <cp:revision>28</cp:revision>
  <dcterms:created xsi:type="dcterms:W3CDTF">2016-10-13T06:42:00Z</dcterms:created>
  <dcterms:modified xsi:type="dcterms:W3CDTF">2016-10-17T14:14:00Z</dcterms:modified>
</cp:coreProperties>
</file>