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E78" w:rsidRPr="00462819" w:rsidRDefault="00A61E78" w:rsidP="00E01ED6">
      <w:pPr>
        <w:pBdr>
          <w:top w:val="single" w:sz="6" w:space="8" w:color="666666"/>
        </w:pBdr>
        <w:shd w:val="clear" w:color="auto" w:fill="FFFFFF"/>
        <w:spacing w:after="0" w:line="240" w:lineRule="auto"/>
        <w:jc w:val="both"/>
        <w:rPr>
          <w:rFonts w:eastAsia="Times New Roman" w:cs="Times New Roman"/>
          <w:b/>
          <w:lang w:val="es-ES" w:eastAsia="ca-ES"/>
        </w:rPr>
      </w:pPr>
      <w:r w:rsidRPr="00462819">
        <w:rPr>
          <w:lang w:val="es-ES"/>
        </w:rPr>
        <w:t xml:space="preserve">FAAEE simposio: </w:t>
      </w:r>
      <w:hyperlink r:id="rId7" w:history="1">
        <w:r w:rsidRPr="00462819">
          <w:rPr>
            <w:rFonts w:eastAsia="Times New Roman" w:cs="Times New Roman"/>
            <w:b/>
            <w:bdr w:val="none" w:sz="0" w:space="0" w:color="auto" w:frame="1"/>
            <w:lang w:val="es-ES" w:eastAsia="ca-ES"/>
          </w:rPr>
          <w:t>S22 · Regímenes de movilidad, sistemas de control y nuevas formas de exclusión social</w:t>
        </w:r>
      </w:hyperlink>
    </w:p>
    <w:p w:rsidR="00A61E78" w:rsidRPr="00462819" w:rsidRDefault="00E01ED6" w:rsidP="00E01ED6">
      <w:pPr>
        <w:shd w:val="clear" w:color="auto" w:fill="FFFFFF"/>
        <w:spacing w:before="300" w:after="0" w:line="360" w:lineRule="atLeast"/>
        <w:jc w:val="both"/>
        <w:outlineLvl w:val="3"/>
        <w:rPr>
          <w:rFonts w:eastAsia="Times New Roman" w:cs="Times New Roman"/>
          <w:lang w:val="es-ES" w:eastAsia="ca-ES"/>
        </w:rPr>
      </w:pPr>
      <w:r w:rsidRPr="00462819">
        <w:rPr>
          <w:rFonts w:eastAsia="Times New Roman" w:cs="Times New Roman"/>
          <w:b/>
          <w:lang w:val="es-ES" w:eastAsia="ca-ES"/>
        </w:rPr>
        <w:t xml:space="preserve">Coordinadores: </w:t>
      </w:r>
      <w:r w:rsidR="00A61E78" w:rsidRPr="00462819">
        <w:rPr>
          <w:rFonts w:eastAsia="Times New Roman" w:cs="Times New Roman"/>
          <w:lang w:val="es-ES" w:eastAsia="ca-ES"/>
        </w:rPr>
        <w:t>Joan J. Pujadas (L’ITA) y Teresa Tapada (ICA)</w:t>
      </w:r>
    </w:p>
    <w:p w:rsidR="00E01ED6" w:rsidRDefault="00E01ED6" w:rsidP="00A61E78">
      <w:pPr>
        <w:pBdr>
          <w:top w:val="single" w:sz="6" w:space="8" w:color="666666"/>
        </w:pBdr>
        <w:shd w:val="clear" w:color="auto" w:fill="FFFFFF"/>
        <w:spacing w:after="0" w:line="408" w:lineRule="atLeast"/>
        <w:jc w:val="both"/>
        <w:rPr>
          <w:rFonts w:eastAsia="Times New Roman" w:cs="Times New Roman"/>
          <w:color w:val="333333"/>
          <w:lang w:val="es-ES" w:eastAsia="ca-ES"/>
        </w:rPr>
      </w:pPr>
    </w:p>
    <w:p w:rsidR="00E01ED6" w:rsidRPr="00E01ED6" w:rsidRDefault="00E01ED6" w:rsidP="00A61E78">
      <w:pPr>
        <w:pBdr>
          <w:top w:val="single" w:sz="6" w:space="8" w:color="666666"/>
        </w:pBdr>
        <w:shd w:val="clear" w:color="auto" w:fill="FFFFFF"/>
        <w:spacing w:after="0" w:line="408" w:lineRule="atLeast"/>
        <w:jc w:val="both"/>
        <w:rPr>
          <w:rFonts w:eastAsia="Times New Roman" w:cs="Times New Roman"/>
          <w:color w:val="333333"/>
          <w:lang w:val="es-ES" w:eastAsia="ca-ES"/>
        </w:rPr>
      </w:pPr>
    </w:p>
    <w:p w:rsidR="00A61E78" w:rsidRPr="00E01ED6" w:rsidRDefault="00A61E78">
      <w:pPr>
        <w:rPr>
          <w:b/>
          <w:lang w:val="es-ES"/>
        </w:rPr>
      </w:pPr>
      <w:r w:rsidRPr="00E01ED6">
        <w:rPr>
          <w:b/>
          <w:lang w:val="es-ES"/>
        </w:rPr>
        <w:t>Estrategias familiares ante la crisis hipotecaria y la movilidad escolar no deseada.</w:t>
      </w:r>
      <w:r w:rsidR="00E01ED6">
        <w:rPr>
          <w:b/>
          <w:lang w:val="es-ES"/>
        </w:rPr>
        <w:t xml:space="preserve"> </w:t>
      </w:r>
      <w:r w:rsidRPr="00E01ED6">
        <w:rPr>
          <w:b/>
          <w:lang w:val="es-ES"/>
        </w:rPr>
        <w:t>Identif</w:t>
      </w:r>
      <w:bookmarkStart w:id="0" w:name="_GoBack"/>
      <w:bookmarkEnd w:id="0"/>
      <w:r w:rsidRPr="00E01ED6">
        <w:rPr>
          <w:b/>
          <w:lang w:val="es-ES"/>
        </w:rPr>
        <w:t>icando el triángulo de la movilidad</w:t>
      </w:r>
    </w:p>
    <w:p w:rsidR="00A61E78" w:rsidRPr="00E01ED6" w:rsidRDefault="00E01ED6">
      <w:pPr>
        <w:rPr>
          <w:u w:val="single"/>
          <w:lang w:val="es-ES"/>
        </w:rPr>
      </w:pPr>
      <w:r w:rsidRPr="00E01ED6">
        <w:rPr>
          <w:b/>
          <w:lang w:val="es-ES"/>
        </w:rPr>
        <w:t>Autores</w:t>
      </w:r>
      <w:r w:rsidRPr="00E01ED6">
        <w:rPr>
          <w:lang w:val="es-ES"/>
        </w:rPr>
        <w:t xml:space="preserve">: </w:t>
      </w:r>
      <w:r w:rsidR="00A61E78" w:rsidRPr="00E01ED6">
        <w:rPr>
          <w:u w:val="single"/>
          <w:lang w:val="es-ES"/>
        </w:rPr>
        <w:t>Bálint-Ábel Bereményi</w:t>
      </w:r>
      <w:r w:rsidR="00A61E78" w:rsidRPr="00E01ED6">
        <w:rPr>
          <w:lang w:val="es-ES"/>
        </w:rPr>
        <w:t xml:space="preserve"> </w:t>
      </w:r>
      <w:r w:rsidR="00CF5861" w:rsidRPr="00E01ED6">
        <w:rPr>
          <w:lang w:val="es-ES"/>
        </w:rPr>
        <w:t xml:space="preserve">(UAB) </w:t>
      </w:r>
      <w:r w:rsidR="00A61E78" w:rsidRPr="00E01ED6">
        <w:rPr>
          <w:lang w:val="es-ES"/>
        </w:rPr>
        <w:t xml:space="preserve">&amp; </w:t>
      </w:r>
      <w:r w:rsidR="00A61E78" w:rsidRPr="00E01ED6">
        <w:rPr>
          <w:u w:val="single"/>
          <w:lang w:val="es-ES"/>
        </w:rPr>
        <w:t>Sílvia Carrasco</w:t>
      </w:r>
      <w:r w:rsidR="00CF5861" w:rsidRPr="00E01ED6">
        <w:rPr>
          <w:lang w:val="es-ES"/>
        </w:rPr>
        <w:t xml:space="preserve"> (UAB)</w:t>
      </w:r>
    </w:p>
    <w:p w:rsidR="005D1F57" w:rsidRPr="00E01ED6" w:rsidRDefault="00452A72" w:rsidP="00E01ED6">
      <w:pPr>
        <w:jc w:val="both"/>
        <w:rPr>
          <w:i/>
          <w:lang w:val="es-ES"/>
        </w:rPr>
      </w:pPr>
      <w:r w:rsidRPr="00E01ED6">
        <w:rPr>
          <w:lang w:val="es-ES"/>
        </w:rPr>
        <w:t>La precarización laboral, el endeudamiento y los recortes en las ayudas sociales desde el estallido de la burbuja inmobiliaria en España han generado una mayor movilidad geográfica en busca de trabajo y de vivienda asequible y una mayor movilidad escolar</w:t>
      </w:r>
      <w:r w:rsidR="005E3A0F" w:rsidRPr="00E01ED6">
        <w:rPr>
          <w:lang w:val="es-ES"/>
        </w:rPr>
        <w:t>, directa e indirectamente vinculada con la crisis</w:t>
      </w:r>
      <w:r w:rsidRPr="00E01ED6">
        <w:rPr>
          <w:lang w:val="es-ES"/>
        </w:rPr>
        <w:t xml:space="preserve">. Como parte de un proyecto más amplio sobre la movilidad </w:t>
      </w:r>
      <w:r w:rsidR="00692051" w:rsidRPr="00E01ED6">
        <w:rPr>
          <w:lang w:val="es-ES"/>
        </w:rPr>
        <w:t xml:space="preserve">entre centros escolares </w:t>
      </w:r>
      <w:r w:rsidRPr="00E01ED6">
        <w:rPr>
          <w:lang w:val="es-ES"/>
        </w:rPr>
        <w:t xml:space="preserve">en Barcelona, esta presentación se basa en observación etnográfica y entrevistas </w:t>
      </w:r>
      <w:proofErr w:type="spellStart"/>
      <w:r w:rsidRPr="00E01ED6">
        <w:rPr>
          <w:lang w:val="es-ES"/>
        </w:rPr>
        <w:t>semi</w:t>
      </w:r>
      <w:proofErr w:type="spellEnd"/>
      <w:r w:rsidR="00C959FB" w:rsidRPr="00E01ED6">
        <w:rPr>
          <w:lang w:val="es-ES"/>
        </w:rPr>
        <w:t>-</w:t>
      </w:r>
      <w:r w:rsidRPr="00E01ED6">
        <w:rPr>
          <w:lang w:val="es-ES"/>
        </w:rPr>
        <w:t xml:space="preserve">dirigidas en asambleas de la Plataforma de Afectados por la Hipoteca (PAH), y explora el impacto de la crisis hipotecaria en las familias afectadas con menores en edad escolar a través de sus experiencias ante </w:t>
      </w:r>
      <w:r w:rsidR="00D90E85" w:rsidRPr="00E01ED6">
        <w:rPr>
          <w:lang w:val="es-ES"/>
        </w:rPr>
        <w:t xml:space="preserve">la pérdida </w:t>
      </w:r>
      <w:r w:rsidRPr="00E01ED6">
        <w:rPr>
          <w:lang w:val="es-ES"/>
        </w:rPr>
        <w:t xml:space="preserve">de vivienda y de movilidad escolar no deseada. El análisis de los datos permite identificar la existencia de un </w:t>
      </w:r>
      <w:r w:rsidR="00D90E85" w:rsidRPr="00E01ED6">
        <w:rPr>
          <w:lang w:val="es-ES"/>
        </w:rPr>
        <w:t>“</w:t>
      </w:r>
      <w:r w:rsidRPr="00E01ED6">
        <w:rPr>
          <w:lang w:val="es-ES"/>
        </w:rPr>
        <w:t xml:space="preserve">triángulo de la movilidad”, que opera entre las aspiraciones </w:t>
      </w:r>
      <w:r w:rsidR="005D1F57" w:rsidRPr="00E01ED6">
        <w:rPr>
          <w:lang w:val="es-ES"/>
        </w:rPr>
        <w:t>y experiencia</w:t>
      </w:r>
      <w:r w:rsidRPr="00E01ED6">
        <w:rPr>
          <w:lang w:val="es-ES"/>
        </w:rPr>
        <w:t xml:space="preserve">s de </w:t>
      </w:r>
      <w:r w:rsidRPr="00E01ED6">
        <w:rPr>
          <w:b/>
          <w:lang w:val="es-ES"/>
        </w:rPr>
        <w:t>movilidad social</w:t>
      </w:r>
      <w:r w:rsidRPr="00E01ED6">
        <w:rPr>
          <w:lang w:val="es-ES"/>
        </w:rPr>
        <w:t xml:space="preserve"> </w:t>
      </w:r>
      <w:r w:rsidR="005E3A0F" w:rsidRPr="00E01ED6">
        <w:rPr>
          <w:lang w:val="es-ES"/>
        </w:rPr>
        <w:t xml:space="preserve">(ascendente y descendente) </w:t>
      </w:r>
      <w:r w:rsidRPr="00E01ED6">
        <w:rPr>
          <w:lang w:val="es-ES"/>
        </w:rPr>
        <w:t xml:space="preserve">de las familias, desarrolladas en la última década;  la </w:t>
      </w:r>
      <w:r w:rsidRPr="00E01ED6">
        <w:rPr>
          <w:b/>
          <w:lang w:val="es-ES"/>
        </w:rPr>
        <w:t xml:space="preserve">movilidad residencial </w:t>
      </w:r>
      <w:r w:rsidR="005E3A0F" w:rsidRPr="00E01ED6">
        <w:rPr>
          <w:lang w:val="es-ES"/>
        </w:rPr>
        <w:t>(</w:t>
      </w:r>
      <w:r w:rsidRPr="00E01ED6">
        <w:rPr>
          <w:lang w:val="es-ES"/>
        </w:rPr>
        <w:t>no deseada</w:t>
      </w:r>
      <w:r w:rsidR="005E3A0F" w:rsidRPr="00E01ED6">
        <w:rPr>
          <w:lang w:val="es-ES"/>
        </w:rPr>
        <w:t>)</w:t>
      </w:r>
      <w:r w:rsidRPr="00E01ED6">
        <w:rPr>
          <w:lang w:val="es-ES"/>
        </w:rPr>
        <w:t xml:space="preserve"> y la  </w:t>
      </w:r>
      <w:r w:rsidRPr="00E01ED6">
        <w:rPr>
          <w:b/>
          <w:lang w:val="es-ES"/>
        </w:rPr>
        <w:t>movilidad escolar</w:t>
      </w:r>
      <w:r w:rsidR="005D1F57" w:rsidRPr="00E01ED6">
        <w:rPr>
          <w:lang w:val="es-ES"/>
        </w:rPr>
        <w:t xml:space="preserve"> (estraté</w:t>
      </w:r>
      <w:r w:rsidRPr="00E01ED6">
        <w:rPr>
          <w:lang w:val="es-ES"/>
        </w:rPr>
        <w:t xml:space="preserve">gica </w:t>
      </w:r>
      <w:r w:rsidR="00692051" w:rsidRPr="00E01ED6">
        <w:rPr>
          <w:lang w:val="es-ES"/>
        </w:rPr>
        <w:t>y</w:t>
      </w:r>
      <w:r w:rsidRPr="00E01ED6">
        <w:rPr>
          <w:lang w:val="es-ES"/>
        </w:rPr>
        <w:t>/o inevitable) de sus hijos</w:t>
      </w:r>
      <w:r w:rsidR="00692051" w:rsidRPr="00E01ED6">
        <w:rPr>
          <w:lang w:val="es-ES"/>
        </w:rPr>
        <w:t xml:space="preserve"> e hij</w:t>
      </w:r>
      <w:r w:rsidRPr="00E01ED6">
        <w:rPr>
          <w:lang w:val="es-ES"/>
        </w:rPr>
        <w:t xml:space="preserve">as. </w:t>
      </w:r>
      <w:r w:rsidR="005D1F57" w:rsidRPr="00E01ED6">
        <w:rPr>
          <w:lang w:val="es-ES"/>
        </w:rPr>
        <w:t xml:space="preserve">Siguiendo </w:t>
      </w:r>
      <w:r w:rsidR="00692051" w:rsidRPr="00E01ED6">
        <w:rPr>
          <w:lang w:val="es-ES"/>
        </w:rPr>
        <w:t xml:space="preserve">a </w:t>
      </w:r>
      <w:proofErr w:type="spellStart"/>
      <w:r w:rsidR="005D1F57" w:rsidRPr="00E01ED6">
        <w:rPr>
          <w:lang w:val="es-ES"/>
        </w:rPr>
        <w:t>Glick</w:t>
      </w:r>
      <w:proofErr w:type="spellEnd"/>
      <w:r w:rsidR="005D1F57" w:rsidRPr="00E01ED6">
        <w:rPr>
          <w:lang w:val="es-ES"/>
        </w:rPr>
        <w:t xml:space="preserve"> Schiller y Salazar </w:t>
      </w:r>
      <w:r w:rsidR="005D1F57" w:rsidRPr="00E01ED6">
        <w:rPr>
          <w:lang w:val="es-ES"/>
        </w:rPr>
        <w:fldChar w:fldCharType="begin" w:fldLock="1"/>
      </w:r>
      <w:r w:rsidR="005D1F57" w:rsidRPr="00E01ED6">
        <w:rPr>
          <w:lang w:val="es-ES"/>
        </w:rPr>
        <w:instrText>ADDIN CSL_CITATION { "citationItems" : [ { "id" : "ITEM-1", "itemData" : { "author" : [ { "dropping-particle" : "", "family" : "Glick Schiller", "given" : "Nina", "non-dropping-particle" : "", "parse-names" : false, "suffix" : "" }, { "dropping-particle" : "", "family" : "Salazar", "given" : "Noel B", "non-dropping-particle" : "", "parse-names" : false, "suffix" : "" } ], "container-title" : "Journal of Ethnic and Migration Studies", "id" : "ITEM-1", "issue" : "2", "issued" : { "date-parts" : [ [ "2013" ] ] }, "page" : "183-200", "title" : "Regimes of Mobility Across the Globe Regimes of Mobility Across the Globe", "type" : "article-journal", "volume" : "39" }, "label" : "note", "suppress-author" : 1, "uris" : [ "http://www.mendeley.com/documents/?uuid=980ec9cd-4889-4849-9a6f-15e97c8c24a5" ] } ], "mendeley" : { "formattedCitation" : "(2013)", "plainTextFormattedCitation" : "(2013)", "previouslyFormattedCitation" : "(2013)" }, "properties" : { "noteIndex" : 0 }, "schema" : "https://github.com/citation-style-language/schema/raw/master/csl-citation.json" }</w:instrText>
      </w:r>
      <w:r w:rsidR="005D1F57" w:rsidRPr="00E01ED6">
        <w:rPr>
          <w:lang w:val="es-ES"/>
        </w:rPr>
        <w:fldChar w:fldCharType="separate"/>
      </w:r>
      <w:r w:rsidR="005D1F57" w:rsidRPr="00E01ED6">
        <w:rPr>
          <w:noProof/>
          <w:lang w:val="es-ES"/>
        </w:rPr>
        <w:t>(2013)</w:t>
      </w:r>
      <w:r w:rsidR="005D1F57" w:rsidRPr="00E01ED6">
        <w:rPr>
          <w:lang w:val="es-ES"/>
        </w:rPr>
        <w:fldChar w:fldCharType="end"/>
      </w:r>
      <w:r w:rsidR="005D1F57" w:rsidRPr="00E01ED6">
        <w:rPr>
          <w:lang w:val="es-ES"/>
        </w:rPr>
        <w:t xml:space="preserve"> entendemos</w:t>
      </w:r>
      <w:r w:rsidR="007278F6" w:rsidRPr="00E01ED6">
        <w:rPr>
          <w:lang w:val="es-ES"/>
        </w:rPr>
        <w:t xml:space="preserve"> por</w:t>
      </w:r>
      <w:r w:rsidR="00437B36" w:rsidRPr="00E01ED6">
        <w:rPr>
          <w:lang w:val="es-ES"/>
        </w:rPr>
        <w:t xml:space="preserve"> </w:t>
      </w:r>
      <w:r w:rsidR="005D1F57" w:rsidRPr="00E01ED6">
        <w:rPr>
          <w:lang w:val="es-ES"/>
        </w:rPr>
        <w:t>inmov</w:t>
      </w:r>
      <w:r w:rsidR="00D90E85" w:rsidRPr="00E01ED6">
        <w:rPr>
          <w:lang w:val="es-ES"/>
        </w:rPr>
        <w:t xml:space="preserve">ilidad residencial y escolar no </w:t>
      </w:r>
      <w:r w:rsidR="005D1F57" w:rsidRPr="00E01ED6">
        <w:rPr>
          <w:lang w:val="es-ES"/>
        </w:rPr>
        <w:t xml:space="preserve">como algo </w:t>
      </w:r>
      <w:r w:rsidR="00AC175A" w:rsidRPr="00E01ED6">
        <w:rPr>
          <w:lang w:val="es-ES"/>
        </w:rPr>
        <w:t>dado por hecho, sino como un proceso intencionado y negociado, una aproximación que pretende desafiar la visión institucional</w:t>
      </w:r>
      <w:r w:rsidR="008A3B19" w:rsidRPr="00E01ED6">
        <w:rPr>
          <w:lang w:val="es-ES"/>
        </w:rPr>
        <w:t xml:space="preserve"> normalizada sobre la relación fija y continuada entre </w:t>
      </w:r>
      <w:r w:rsidR="00692051" w:rsidRPr="00E01ED6">
        <w:rPr>
          <w:lang w:val="es-ES"/>
        </w:rPr>
        <w:t>la población escolar de un centro</w:t>
      </w:r>
      <w:r w:rsidR="008A3B19" w:rsidRPr="00E01ED6">
        <w:rPr>
          <w:lang w:val="es-ES"/>
        </w:rPr>
        <w:t xml:space="preserve">, </w:t>
      </w:r>
      <w:r w:rsidR="005E3A0F" w:rsidRPr="00E01ED6">
        <w:rPr>
          <w:lang w:val="es-ES"/>
        </w:rPr>
        <w:t xml:space="preserve">su </w:t>
      </w:r>
      <w:r w:rsidR="008A3B19" w:rsidRPr="00E01ED6">
        <w:rPr>
          <w:lang w:val="es-ES"/>
        </w:rPr>
        <w:t xml:space="preserve">residencia y </w:t>
      </w:r>
      <w:r w:rsidR="00692051" w:rsidRPr="00E01ED6">
        <w:rPr>
          <w:lang w:val="es-ES"/>
        </w:rPr>
        <w:t>el propio centro</w:t>
      </w:r>
      <w:r w:rsidR="00AC175A" w:rsidRPr="00E01ED6">
        <w:rPr>
          <w:lang w:val="es-ES"/>
        </w:rPr>
        <w:t>.</w:t>
      </w:r>
      <w:r w:rsidR="00A61E78" w:rsidRPr="00E01ED6">
        <w:rPr>
          <w:lang w:val="es-ES"/>
        </w:rPr>
        <w:t xml:space="preserve"> De semejante manera, al interpretar lo</w:t>
      </w:r>
      <w:r w:rsidR="00692051" w:rsidRPr="00E01ED6">
        <w:rPr>
          <w:lang w:val="es-ES"/>
        </w:rPr>
        <w:t xml:space="preserve">s datos, incluimos experiencias </w:t>
      </w:r>
      <w:r w:rsidR="00A61E78" w:rsidRPr="00E01ED6">
        <w:rPr>
          <w:lang w:val="es-ES"/>
        </w:rPr>
        <w:t xml:space="preserve">no solo de la movilidad </w:t>
      </w:r>
      <w:r w:rsidR="00692051" w:rsidRPr="00E01ED6">
        <w:rPr>
          <w:lang w:val="es-ES"/>
        </w:rPr>
        <w:t xml:space="preserve">efectivamente </w:t>
      </w:r>
      <w:r w:rsidR="00A61E78" w:rsidRPr="00E01ED6">
        <w:rPr>
          <w:lang w:val="es-ES"/>
        </w:rPr>
        <w:t xml:space="preserve">vivida, sino también </w:t>
      </w:r>
      <w:r w:rsidR="00692051" w:rsidRPr="00E01ED6">
        <w:rPr>
          <w:lang w:val="es-ES"/>
        </w:rPr>
        <w:t>d</w:t>
      </w:r>
      <w:r w:rsidR="00A61E78" w:rsidRPr="00E01ED6">
        <w:rPr>
          <w:lang w:val="es-ES"/>
        </w:rPr>
        <w:t xml:space="preserve">el riesgo </w:t>
      </w:r>
      <w:r w:rsidR="00692051" w:rsidRPr="00E01ED6">
        <w:rPr>
          <w:lang w:val="es-ES"/>
        </w:rPr>
        <w:t>de movilidad.</w:t>
      </w:r>
      <w:r w:rsidR="00A61E78" w:rsidRPr="00E01ED6">
        <w:rPr>
          <w:lang w:val="es-ES"/>
        </w:rPr>
        <w:t xml:space="preserve"> </w:t>
      </w:r>
      <w:r w:rsidR="00692051" w:rsidRPr="00E01ED6">
        <w:rPr>
          <w:lang w:val="es-ES"/>
        </w:rPr>
        <w:t>Nuestro análisis se inspira así mismo en</w:t>
      </w:r>
      <w:r w:rsidR="008A3B19" w:rsidRPr="00E01ED6">
        <w:rPr>
          <w:lang w:val="es-ES"/>
        </w:rPr>
        <w:t xml:space="preserve"> el abordaje de</w:t>
      </w:r>
      <w:r w:rsidR="00692051" w:rsidRPr="00E01ED6">
        <w:rPr>
          <w:lang w:val="es-ES"/>
        </w:rPr>
        <w:t>l</w:t>
      </w:r>
      <w:r w:rsidR="008A3B19" w:rsidRPr="00E01ED6">
        <w:rPr>
          <w:lang w:val="es-ES"/>
        </w:rPr>
        <w:t xml:space="preserve"> cambio social de la teoría de reproducción de Bourdieu </w:t>
      </w:r>
      <w:r w:rsidR="008A3B19" w:rsidRPr="00E01ED6">
        <w:rPr>
          <w:lang w:val="es-ES"/>
        </w:rPr>
        <w:fldChar w:fldCharType="begin" w:fldLock="1"/>
      </w:r>
      <w:r w:rsidR="005E3A0F" w:rsidRPr="00E01ED6">
        <w:rPr>
          <w:lang w:val="es-ES"/>
        </w:rPr>
        <w:instrText>ADDIN CSL_CITATION { "citationItems" : [ { "id" : "ITEM-1", "itemData" : { "author" : [ { "dropping-particle" : "", "family" : "Bourdieu", "given" : "Pierre", "non-dropping-particle" : "", "parse-names" : false, "suffix" : "" } ], "id" : "ITEM-1", "issued" : { "date-parts" : [ [ "1977" ] ] }, "publisher" : "Cambridge University Press", "publisher-place" : "Cambridge", "title" : "Outline of a Theory of Practice", "type" : "book" }, "uris" : [ "http://www.mendeley.com/documents/?uuid=ea1fa67c-fec0-4cfc-b5cf-50374938a4f8" ] }, { "id" : "ITEM-2", "itemData" : { "DOI" : "10.1111/1467-954X.12280", "ISSN" : "00380261", "abstract" : "Increasing social mobility is the 'principal goal' of the British Government's social policy (Cabinet Office, 2011: 5). However, while policy perspectives present mobility as an unambiguously progressive force, there is a striking absence of studies look-ing at the impact of mobility on individuals themselves. Drawing on 39 lifecourse interviews with upwardly mobile respondents drawn from the UK Cultural Capital and Social Exclusion Project (CCSE), this paper examines how mobility affects the psychic and emotional life of the individual. More specifically, it examines how mo-bility influences social, familial and intimate relationships, as well as the ontological coherence of the self. Following Bourdieu's (2004: 127) description of his own up-ward trajectory, the paper argues that the concept of a divided habitus, or habitus cli e, may be particularly useful for understanding some iterations of the contempo-rary mobility experience, particularly its most long-range forms. Such a concept, it argues, helps explain how the emotional pull of class loyalties can entangle subjects in the affinities of the past, and why \u2013 despite prevailing political rhetoric \u2013 upward mobility may remain a state that not everyone unequivocally aspires to.", "author" : [ { "dropping-particle" : "", "family" : "Friedman", "given" : "Sam", "non-dropping-particle" : "", "parse-names" : false, "suffix" : "" } ], "container-title" : "The Sociological Review", "id" : "ITEM-2", "issued" : { "date-parts" : [ [ "2016" ] ] }, "page" : "129-147", "title" : "Habitus cliv\u00e9 and the emotional imprint of social mobility", "type" : "article-journal", "volume" : "64" }, "uris" : [ "http://www.mendeley.com/documents/?uuid=e3917ae3-e7b1-40d5-85e2-91d12cc8f00d" ] }, { "id" : "ITEM-3", "itemData" : { "DOI" : "10.1080/00131857.2013.839375", "ISBN" : "0013-1857", "ISSN" : "0013-1857", "abstract" : "This article sets out to go beyond those criticisms that claim Bourdieu's theory is structuralist determinism and identifies how change can be realized within a Bourdieusian framework. Starting with Bourdieu's theory of practice, the first part of this article aims to develop an understanding of the interlocking relationship between capital, habitus and field. The review shows that the inability to anticipate change is arguably the most crucial weakness of the Bourdieusian framework. The second part examines Bourdieu's attempts that seemingly challenge the determinist criticism: 'reproduction strategy', 'reflexivity' and 'hysteresis effect'. By relocating these concepts in Bourdieu's grand social theory, it then becomes clear that change is attainable in Bourdieusian theory if we can successfully identify the 'mismatch' between the field and habitus that can trigger the awakening of consciousness, fully recognize the neglected, but equally important, methodical mode of habitus formation, which is 'explicit pedagogy', and strategically engage with an open system that provides new possibilities. By scrutinizing Bourdieu in his original texts, with an eye to finding the 'hidden essence', this article hopes to show the need to take a certain theoretical innovation, one that is clearly outside the habitual use of Bourdieu's theory", "author" : [ { "dropping-particle" : "", "family" : "Yang", "given" : "Y", "non-dropping-particle" : "", "parse-names" : false, "suffix" : "" } ], "container-title" : "Educational Philosophy and Theory", "id" : "ITEM-3", "issue" : "14", "issued" : { "date-parts" : [ [ "2014" ] ] }, "page" : "1522-1540", "title" : "Bourdieu, Practice and Change: Beyond the Criticism of determinism", "type" : "article-journal", "volume" : "46" }, "uris" : [ "http://www.mendeley.com/documents/?uuid=92135cab-ca84-4c5f-9300-067c53d1e047" ] } ], "mendeley" : { "formattedCitation" : "(Bourdieu 1977; Friedman 2016; Yang 2014)", "plainTextFormattedCitation" : "(Bourdieu 1977; Friedman 2016; Yang 2014)", "previouslyFormattedCitation" : "(Bourdieu 1977; Friedman 2016)" }, "properties" : { "noteIndex" : 0 }, "schema" : "https://github.com/citation-style-language/schema/raw/master/csl-citation.json" }</w:instrText>
      </w:r>
      <w:r w:rsidR="008A3B19" w:rsidRPr="00E01ED6">
        <w:rPr>
          <w:lang w:val="es-ES"/>
        </w:rPr>
        <w:fldChar w:fldCharType="separate"/>
      </w:r>
      <w:r w:rsidR="005E3A0F" w:rsidRPr="00E01ED6">
        <w:rPr>
          <w:noProof/>
          <w:lang w:val="es-ES"/>
        </w:rPr>
        <w:t>(Bourdieu 1977; Friedman 2016; Yang 2014)</w:t>
      </w:r>
      <w:r w:rsidR="008A3B19" w:rsidRPr="00E01ED6">
        <w:rPr>
          <w:lang w:val="es-ES"/>
        </w:rPr>
        <w:fldChar w:fldCharType="end"/>
      </w:r>
      <w:r w:rsidR="008A3B19" w:rsidRPr="00E01ED6">
        <w:rPr>
          <w:lang w:val="es-ES"/>
        </w:rPr>
        <w:t xml:space="preserve"> descrito mediante el concepto de </w:t>
      </w:r>
      <w:proofErr w:type="spellStart"/>
      <w:r w:rsidR="008A3B19" w:rsidRPr="00E01ED6">
        <w:rPr>
          <w:i/>
          <w:lang w:val="es-ES"/>
        </w:rPr>
        <w:t>habitus</w:t>
      </w:r>
      <w:proofErr w:type="spellEnd"/>
      <w:r w:rsidR="008A3B19" w:rsidRPr="00E01ED6">
        <w:rPr>
          <w:i/>
          <w:lang w:val="es-ES"/>
        </w:rPr>
        <w:t xml:space="preserve"> </w:t>
      </w:r>
      <w:proofErr w:type="spellStart"/>
      <w:r w:rsidR="008A3B19" w:rsidRPr="00E01ED6">
        <w:rPr>
          <w:i/>
          <w:lang w:val="es-ES"/>
        </w:rPr>
        <w:t>clivé</w:t>
      </w:r>
      <w:proofErr w:type="spellEnd"/>
      <w:r w:rsidR="008A3B19" w:rsidRPr="00E01ED6">
        <w:rPr>
          <w:lang w:val="es-ES"/>
        </w:rPr>
        <w:t xml:space="preserve">, una dislocación entre </w:t>
      </w:r>
      <w:proofErr w:type="spellStart"/>
      <w:r w:rsidR="008A3B19" w:rsidRPr="00E01ED6">
        <w:rPr>
          <w:i/>
          <w:lang w:val="es-ES"/>
        </w:rPr>
        <w:t>habitus</w:t>
      </w:r>
      <w:proofErr w:type="spellEnd"/>
      <w:r w:rsidR="008A3B19" w:rsidRPr="00E01ED6">
        <w:rPr>
          <w:lang w:val="es-ES"/>
        </w:rPr>
        <w:t xml:space="preserve"> y la posición del actor en el </w:t>
      </w:r>
      <w:r w:rsidR="008A3B19" w:rsidRPr="00E01ED6">
        <w:rPr>
          <w:i/>
          <w:lang w:val="es-ES"/>
        </w:rPr>
        <w:t>campo</w:t>
      </w:r>
      <w:r w:rsidR="008A3B19" w:rsidRPr="00E01ED6">
        <w:rPr>
          <w:lang w:val="es-ES"/>
        </w:rPr>
        <w:t xml:space="preserve">, en situaciones de </w:t>
      </w:r>
      <w:r w:rsidR="00437B36" w:rsidRPr="00E01ED6">
        <w:rPr>
          <w:lang w:val="es-ES"/>
        </w:rPr>
        <w:t xml:space="preserve">cambio social profundo, como la crisis hipotecaria en España. </w:t>
      </w:r>
    </w:p>
    <w:p w:rsidR="00452A72" w:rsidRPr="00E01ED6" w:rsidRDefault="00452A72">
      <w:pPr>
        <w:rPr>
          <w:lang w:val="es-ES"/>
        </w:rPr>
      </w:pPr>
    </w:p>
    <w:sectPr w:rsidR="00452A72" w:rsidRPr="00E01E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464A88"/>
    <w:multiLevelType w:val="multilevel"/>
    <w:tmpl w:val="2A00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A72"/>
    <w:rsid w:val="000D53B5"/>
    <w:rsid w:val="00264733"/>
    <w:rsid w:val="00437B36"/>
    <w:rsid w:val="00452A72"/>
    <w:rsid w:val="00462819"/>
    <w:rsid w:val="005D1F57"/>
    <w:rsid w:val="005E3A0F"/>
    <w:rsid w:val="00692051"/>
    <w:rsid w:val="007278F6"/>
    <w:rsid w:val="008066CB"/>
    <w:rsid w:val="00832922"/>
    <w:rsid w:val="008A3B19"/>
    <w:rsid w:val="0097770A"/>
    <w:rsid w:val="00A61E78"/>
    <w:rsid w:val="00AC175A"/>
    <w:rsid w:val="00C959FB"/>
    <w:rsid w:val="00CF5861"/>
    <w:rsid w:val="00D81282"/>
    <w:rsid w:val="00D90E85"/>
    <w:rsid w:val="00E01ED6"/>
    <w:rsid w:val="00EC461E"/>
    <w:rsid w:val="00EF482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link w:val="Ttulo4Car"/>
    <w:uiPriority w:val="9"/>
    <w:qFormat/>
    <w:rsid w:val="00A61E78"/>
    <w:pPr>
      <w:spacing w:before="100" w:beforeAutospacing="1" w:after="100" w:afterAutospacing="1" w:line="240" w:lineRule="auto"/>
      <w:outlineLvl w:val="3"/>
    </w:pPr>
    <w:rPr>
      <w:rFonts w:ascii="Times New Roman" w:eastAsia="Times New Roman" w:hAnsi="Times New Roman" w:cs="Times New Roman"/>
      <w:b/>
      <w:bCs/>
      <w:sz w:val="24"/>
      <w:szCs w:val="24"/>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bstract">
    <w:name w:val="Abstract"/>
    <w:basedOn w:val="Normal"/>
    <w:next w:val="Normal"/>
    <w:qFormat/>
    <w:rsid w:val="00452A72"/>
    <w:pPr>
      <w:spacing w:before="360" w:after="300" w:line="480" w:lineRule="auto"/>
      <w:ind w:left="720" w:right="567"/>
    </w:pPr>
    <w:rPr>
      <w:rFonts w:ascii="Times New Roman" w:eastAsia="Times New Roman" w:hAnsi="Times New Roman" w:cs="Times New Roman"/>
      <w:szCs w:val="24"/>
      <w:lang w:val="en-GB" w:eastAsia="en-GB"/>
    </w:rPr>
  </w:style>
  <w:style w:type="character" w:styleId="Hipervnculo">
    <w:name w:val="Hyperlink"/>
    <w:basedOn w:val="Fuentedeprrafopredeter"/>
    <w:uiPriority w:val="99"/>
    <w:semiHidden/>
    <w:unhideWhenUsed/>
    <w:rsid w:val="00A61E78"/>
    <w:rPr>
      <w:color w:val="0000FF"/>
      <w:u w:val="single"/>
    </w:rPr>
  </w:style>
  <w:style w:type="character" w:customStyle="1" w:styleId="Ttulo4Car">
    <w:name w:val="Título 4 Car"/>
    <w:basedOn w:val="Fuentedeprrafopredeter"/>
    <w:link w:val="Ttulo4"/>
    <w:uiPriority w:val="9"/>
    <w:rsid w:val="00A61E78"/>
    <w:rPr>
      <w:rFonts w:ascii="Times New Roman" w:eastAsia="Times New Roman" w:hAnsi="Times New Roman" w:cs="Times New Roman"/>
      <w:b/>
      <w:bCs/>
      <w:sz w:val="24"/>
      <w:szCs w:val="24"/>
      <w:lang w:eastAsia="ca-ES"/>
    </w:rPr>
  </w:style>
  <w:style w:type="paragraph" w:styleId="NormalWeb">
    <w:name w:val="Normal (Web)"/>
    <w:basedOn w:val="Normal"/>
    <w:uiPriority w:val="99"/>
    <w:semiHidden/>
    <w:unhideWhenUsed/>
    <w:rsid w:val="00A61E78"/>
    <w:pPr>
      <w:spacing w:before="100" w:beforeAutospacing="1" w:after="100" w:afterAutospacing="1" w:line="240" w:lineRule="auto"/>
    </w:pPr>
    <w:rPr>
      <w:rFonts w:ascii="Times New Roman" w:eastAsia="Times New Roman" w:hAnsi="Times New Roman" w:cs="Times New Roman"/>
      <w:sz w:val="24"/>
      <w:szCs w:val="24"/>
      <w:lang w:eastAsia="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link w:val="Ttulo4Car"/>
    <w:uiPriority w:val="9"/>
    <w:qFormat/>
    <w:rsid w:val="00A61E78"/>
    <w:pPr>
      <w:spacing w:before="100" w:beforeAutospacing="1" w:after="100" w:afterAutospacing="1" w:line="240" w:lineRule="auto"/>
      <w:outlineLvl w:val="3"/>
    </w:pPr>
    <w:rPr>
      <w:rFonts w:ascii="Times New Roman" w:eastAsia="Times New Roman" w:hAnsi="Times New Roman" w:cs="Times New Roman"/>
      <w:b/>
      <w:bCs/>
      <w:sz w:val="24"/>
      <w:szCs w:val="24"/>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bstract">
    <w:name w:val="Abstract"/>
    <w:basedOn w:val="Normal"/>
    <w:next w:val="Normal"/>
    <w:qFormat/>
    <w:rsid w:val="00452A72"/>
    <w:pPr>
      <w:spacing w:before="360" w:after="300" w:line="480" w:lineRule="auto"/>
      <w:ind w:left="720" w:right="567"/>
    </w:pPr>
    <w:rPr>
      <w:rFonts w:ascii="Times New Roman" w:eastAsia="Times New Roman" w:hAnsi="Times New Roman" w:cs="Times New Roman"/>
      <w:szCs w:val="24"/>
      <w:lang w:val="en-GB" w:eastAsia="en-GB"/>
    </w:rPr>
  </w:style>
  <w:style w:type="character" w:styleId="Hipervnculo">
    <w:name w:val="Hyperlink"/>
    <w:basedOn w:val="Fuentedeprrafopredeter"/>
    <w:uiPriority w:val="99"/>
    <w:semiHidden/>
    <w:unhideWhenUsed/>
    <w:rsid w:val="00A61E78"/>
    <w:rPr>
      <w:color w:val="0000FF"/>
      <w:u w:val="single"/>
    </w:rPr>
  </w:style>
  <w:style w:type="character" w:customStyle="1" w:styleId="Ttulo4Car">
    <w:name w:val="Título 4 Car"/>
    <w:basedOn w:val="Fuentedeprrafopredeter"/>
    <w:link w:val="Ttulo4"/>
    <w:uiPriority w:val="9"/>
    <w:rsid w:val="00A61E78"/>
    <w:rPr>
      <w:rFonts w:ascii="Times New Roman" w:eastAsia="Times New Roman" w:hAnsi="Times New Roman" w:cs="Times New Roman"/>
      <w:b/>
      <w:bCs/>
      <w:sz w:val="24"/>
      <w:szCs w:val="24"/>
      <w:lang w:eastAsia="ca-ES"/>
    </w:rPr>
  </w:style>
  <w:style w:type="paragraph" w:styleId="NormalWeb">
    <w:name w:val="Normal (Web)"/>
    <w:basedOn w:val="Normal"/>
    <w:uiPriority w:val="99"/>
    <w:semiHidden/>
    <w:unhideWhenUsed/>
    <w:rsid w:val="00A61E78"/>
    <w:pPr>
      <w:spacing w:before="100" w:beforeAutospacing="1" w:after="100" w:afterAutospacing="1" w:line="240" w:lineRule="auto"/>
    </w:pPr>
    <w:rPr>
      <w:rFonts w:ascii="Times New Roman" w:eastAsia="Times New Roman" w:hAnsi="Times New Roman" w:cs="Times New Roman"/>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207749">
      <w:bodyDiv w:val="1"/>
      <w:marLeft w:val="0"/>
      <w:marRight w:val="0"/>
      <w:marTop w:val="0"/>
      <w:marBottom w:val="0"/>
      <w:divBdr>
        <w:top w:val="none" w:sz="0" w:space="0" w:color="auto"/>
        <w:left w:val="none" w:sz="0" w:space="0" w:color="auto"/>
        <w:bottom w:val="none" w:sz="0" w:space="0" w:color="auto"/>
        <w:right w:val="none" w:sz="0" w:space="0" w:color="auto"/>
      </w:divBdr>
    </w:div>
    <w:div w:id="115514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ongresoantropologiavalencia.com/regimenes-de-movilidad-sistemas-de-control-y-nuevas-formas-de-exclusion-soci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439B8-04FF-44F9-8880-E974B547B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1236</Words>
  <Characters>7051</Characters>
  <Application>Microsoft Office Word</Application>
  <DocSecurity>0</DocSecurity>
  <Lines>58</Lines>
  <Paragraphs>16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UAB</Company>
  <LinksUpToDate>false</LinksUpToDate>
  <CharactersWithSpaces>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Brukner Szikfrid</dc:creator>
  <cp:lastModifiedBy>Brukner Szikfrid</cp:lastModifiedBy>
  <cp:revision>4</cp:revision>
  <dcterms:created xsi:type="dcterms:W3CDTF">2016-10-13T16:57:00Z</dcterms:created>
  <dcterms:modified xsi:type="dcterms:W3CDTF">2016-10-13T17:29:00Z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29e6f924-ebdb-3e91-94ec-c2e5ec48f01e</vt:lpwstr>
  </property>
  <property fmtid="{D5CDD505-2E9C-101B-9397-08002B2CF9AE}" pid="4" name="Mendeley Citation Style_1">
    <vt:lpwstr>http://www.zotero.org/styles/ethnic-and-racial-studies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http://www.zotero.org/styles/chicago-note-bibliography</vt:lpwstr>
  </property>
  <property fmtid="{D5CDD505-2E9C-101B-9397-08002B2CF9AE}" pid="10" name="Mendeley Recent Style Name 2_1">
    <vt:lpwstr>Chicago Manual of Style 16th edition (note)</vt:lpwstr>
  </property>
  <property fmtid="{D5CDD505-2E9C-101B-9397-08002B2CF9AE}" pid="11" name="Mendeley Recent Style Id 3_1">
    <vt:lpwstr>http://www.zotero.org/styles/ethnic-and-racial-studies</vt:lpwstr>
  </property>
  <property fmtid="{D5CDD505-2E9C-101B-9397-08002B2CF9AE}" pid="12" name="Mendeley Recent Style Name 3_1">
    <vt:lpwstr>Ethnic and Racial Studies</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http://www.zotero.org/styles/intercultural-education</vt:lpwstr>
  </property>
  <property fmtid="{D5CDD505-2E9C-101B-9397-08002B2CF9AE}" pid="16" name="Mendeley Recent Style Name 5_1">
    <vt:lpwstr>Intercultural Education</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http://www.zotero.org/styles/sage-harvard</vt:lpwstr>
  </property>
  <property fmtid="{D5CDD505-2E9C-101B-9397-08002B2CF9AE}" pid="20" name="Mendeley Recent Style Name 7_1">
    <vt:lpwstr>SAGE Harvard</vt:lpwstr>
  </property>
  <property fmtid="{D5CDD505-2E9C-101B-9397-08002B2CF9AE}" pid="21" name="Mendeley Recent Style Id 8_1">
    <vt:lpwstr>http://www.zotero.org/styles/taylor-and-francis-american-psychological-association</vt:lpwstr>
  </property>
  <property fmtid="{D5CDD505-2E9C-101B-9397-08002B2CF9AE}" pid="22" name="Mendeley Recent Style Name 8_1">
    <vt:lpwstr>Taylor &amp; Francis - American Psychological Association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