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45428" w14:textId="7EE8A843" w:rsidR="002E4D37" w:rsidRPr="005113B9" w:rsidRDefault="005113B9" w:rsidP="002E4D37">
      <w:pPr>
        <w:autoSpaceDE w:val="0"/>
        <w:autoSpaceDN w:val="0"/>
        <w:adjustRightInd w:val="0"/>
        <w:ind w:firstLine="0"/>
        <w:rPr>
          <w:rFonts w:ascii="Garamond" w:hAnsi="Garamond" w:cs="ArialMT"/>
          <w:b/>
        </w:rPr>
      </w:pPr>
      <w:r w:rsidRPr="005113B9">
        <w:rPr>
          <w:rFonts w:ascii="Garamond" w:hAnsi="Garamond" w:cs="ArialMT"/>
          <w:b/>
        </w:rPr>
        <w:t>DISCAPACIDADES EN LAS ESCUELA Y POBLACIÓN DENOMINADA “INMIGRANTE”. RAZONES DE UNA SOBRERREPRESENTACIÓN</w:t>
      </w:r>
    </w:p>
    <w:p w14:paraId="3E8C1D7B" w14:textId="77777777" w:rsidR="005113B9" w:rsidRDefault="005113B9" w:rsidP="002E4D37">
      <w:pPr>
        <w:autoSpaceDE w:val="0"/>
        <w:autoSpaceDN w:val="0"/>
        <w:adjustRightInd w:val="0"/>
        <w:ind w:firstLine="0"/>
        <w:rPr>
          <w:rFonts w:ascii="Garamond" w:hAnsi="Garamond" w:cs="ArialMT"/>
          <w:b/>
        </w:rPr>
      </w:pPr>
    </w:p>
    <w:p w14:paraId="416D6EBA" w14:textId="77777777" w:rsidR="002E4D37" w:rsidRPr="005113B9" w:rsidRDefault="002E4D37" w:rsidP="002E4D37">
      <w:pPr>
        <w:autoSpaceDE w:val="0"/>
        <w:autoSpaceDN w:val="0"/>
        <w:adjustRightInd w:val="0"/>
        <w:ind w:firstLine="0"/>
        <w:rPr>
          <w:rFonts w:ascii="Garamond" w:hAnsi="Garamond" w:cs="ArialMT"/>
          <w:b/>
        </w:rPr>
      </w:pPr>
      <w:r w:rsidRPr="005113B9">
        <w:rPr>
          <w:rFonts w:ascii="Garamond" w:hAnsi="Garamond" w:cs="ArialMT"/>
          <w:b/>
        </w:rPr>
        <w:t>Alessandra Cama y F. Javier García Castaño</w:t>
      </w:r>
    </w:p>
    <w:p w14:paraId="1E3DBA80" w14:textId="77777777" w:rsidR="002E4D37" w:rsidRDefault="002E4D37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  <w:r>
        <w:rPr>
          <w:rFonts w:ascii="Garamond" w:hAnsi="Garamond" w:cs="ArialMT"/>
        </w:rPr>
        <w:t>Instituto de Migraciones, Universidad de Granada</w:t>
      </w:r>
    </w:p>
    <w:p w14:paraId="2053DD5D" w14:textId="77777777" w:rsidR="005113B9" w:rsidRDefault="005113B9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</w:p>
    <w:p w14:paraId="41288DAD" w14:textId="59143365" w:rsidR="002E4D37" w:rsidRDefault="002E4D37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  <w:r w:rsidRPr="002E4D37">
        <w:rPr>
          <w:rFonts w:ascii="Garamond" w:hAnsi="Garamond" w:cs="ArialMT"/>
        </w:rPr>
        <w:t xml:space="preserve">A </w:t>
      </w:r>
      <w:r w:rsidRPr="002E4D37">
        <w:rPr>
          <w:rFonts w:ascii="Garamond" w:hAnsi="Garamond" w:cs="ArialMT"/>
        </w:rPr>
        <w:t xml:space="preserve">pesar del interés en toda Europa por el tema del alumnado </w:t>
      </w:r>
      <w:r w:rsidRPr="002E4D37">
        <w:rPr>
          <w:rFonts w:ascii="Garamond" w:hAnsi="Garamond" w:cs="ArialMT"/>
        </w:rPr>
        <w:t xml:space="preserve">denominado </w:t>
      </w:r>
      <w:r w:rsidRPr="002E4D37">
        <w:rPr>
          <w:rFonts w:ascii="Garamond" w:hAnsi="Garamond" w:cs="ArialMT"/>
        </w:rPr>
        <w:t xml:space="preserve">de </w:t>
      </w:r>
      <w:r w:rsidRPr="002E4D37">
        <w:rPr>
          <w:rFonts w:ascii="Garamond" w:hAnsi="Garamond" w:cs="ArialMT"/>
        </w:rPr>
        <w:t>“</w:t>
      </w:r>
      <w:r w:rsidRPr="002E4D37">
        <w:rPr>
          <w:rFonts w:ascii="Garamond" w:hAnsi="Garamond" w:cs="ArialMT"/>
        </w:rPr>
        <w:t>origen inmigrante</w:t>
      </w:r>
      <w:r w:rsidRPr="002E4D37">
        <w:rPr>
          <w:rFonts w:ascii="Garamond" w:hAnsi="Garamond" w:cs="ArialMT"/>
        </w:rPr>
        <w:t>”</w:t>
      </w:r>
      <w:r w:rsidRPr="002E4D37">
        <w:rPr>
          <w:rFonts w:ascii="Garamond" w:hAnsi="Garamond" w:cs="ArialMT"/>
        </w:rPr>
        <w:t xml:space="preserve"> y </w:t>
      </w:r>
      <w:r w:rsidRPr="002E4D37">
        <w:rPr>
          <w:rFonts w:ascii="Garamond" w:hAnsi="Garamond" w:cs="ArialMT"/>
        </w:rPr>
        <w:t xml:space="preserve">las </w:t>
      </w:r>
      <w:r w:rsidRPr="002E4D37">
        <w:rPr>
          <w:rFonts w:ascii="Garamond" w:hAnsi="Garamond" w:cs="ArialMT"/>
        </w:rPr>
        <w:t>necesidades educativas especiales</w:t>
      </w:r>
      <w:r>
        <w:rPr>
          <w:rFonts w:ascii="Garamond" w:hAnsi="Garamond" w:cs="ArialMT"/>
        </w:rPr>
        <w:t xml:space="preserve"> (habitualmente alumnado con discapacidades, aunque no solo)</w:t>
      </w:r>
      <w:r w:rsidRPr="002E4D37">
        <w:rPr>
          <w:rFonts w:ascii="Garamond" w:hAnsi="Garamond" w:cs="ArialMT"/>
        </w:rPr>
        <w:t xml:space="preserve">, no existen estudios a gran escala que analicen ambos aspectos. La única investigación reciente, que abarca el periodo 2005/2009, es la llevada a cabo por la </w:t>
      </w:r>
      <w:r w:rsidRPr="002E4D37">
        <w:rPr>
          <w:rFonts w:ascii="Garamond" w:hAnsi="Garamond" w:cs="Arial-BoldMT"/>
          <w:bCs/>
        </w:rPr>
        <w:t>Agencia Europea para el Desarrollo de la Educación del Alumnado con Necesidades Educativas Especiales</w:t>
      </w:r>
      <w:r w:rsidRPr="002E4D37">
        <w:rPr>
          <w:rFonts w:ascii="Garamond" w:hAnsi="Garamond" w:cs="ArialMT"/>
        </w:rPr>
        <w:t xml:space="preserve">, titulada </w:t>
      </w:r>
      <w:r w:rsidRPr="002E4D37">
        <w:rPr>
          <w:rFonts w:ascii="Garamond" w:hAnsi="Garamond" w:cs="ArialMT"/>
          <w:i/>
        </w:rPr>
        <w:t>Multiculturalidad y Necesidades Educativas Especiales</w:t>
      </w:r>
      <w:r w:rsidRPr="002E4D37">
        <w:rPr>
          <w:rFonts w:ascii="Garamond" w:hAnsi="Garamond" w:cs="ArialMT"/>
        </w:rPr>
        <w:t>. Gracias a este estudio se sabe que existen amplios trabajos europeos centrados en las necesidades educativas especiales (p.e. Meijer, Soriano y Watkins, 2003, 2006; OECD, 2004) o sobre la educación del alumnado con origen cultural distinto al del país de residencia (p.e. Eurydice, 2004; OECD, 2006), pero no hay análisis en el ámbito europeo centrados en</w:t>
      </w:r>
      <w:r w:rsidR="005113B9">
        <w:rPr>
          <w:rFonts w:ascii="Garamond" w:hAnsi="Garamond" w:cs="ArialMT"/>
        </w:rPr>
        <w:t xml:space="preserve"> la combinación de ambos temas.</w:t>
      </w:r>
    </w:p>
    <w:p w14:paraId="760C8340" w14:textId="77777777" w:rsidR="005113B9" w:rsidRPr="002E4D37" w:rsidRDefault="005113B9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  <w:bookmarkStart w:id="0" w:name="_GoBack"/>
      <w:bookmarkEnd w:id="0"/>
    </w:p>
    <w:p w14:paraId="4BD00322" w14:textId="77777777" w:rsidR="002E4D37" w:rsidRDefault="002E4D37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  <w:r w:rsidRPr="002E4D37">
        <w:rPr>
          <w:rFonts w:ascii="Garamond" w:hAnsi="Garamond" w:cs="ArialMT"/>
        </w:rPr>
        <w:t xml:space="preserve">Seguramente la falta de estudios de ese tipo se debe a las grandes diferencias que existen en Europa. En primer lugar, por la terminología empleada para identificar al alumnado denominado de “origen inmigrante”. Algunos estudios trabajan con el término “minoría étnica” o “grupos étnicos minoritarios” (UNESCO, 1994; Lindsay, Pather y Strand, 2006), mientras que otros emplean “migrantes” (OECD, 2007; Comisión Europea, 2008), “inmigrantes” (OECD, 2006), “alumnado bilingüe” o “minorías” (Consejo de Europa, 2006). Otro obstáculo importante es la diferencia entre los sistemas educativos nacionales y la existencia o no de escuelas especiales para alumnado con discapacidades. En efecto, en los países donde existen clases ordinarias, clases especiales en escuelas ordinarias y centros específicos, se constata en éstos últimos un aumento de alumnos con historia de migración. Ahora bien, a pesar de las diferencias, la literatura europea en relación con la situación educativa del alumnado con necesidades educativas especiales y </w:t>
      </w:r>
      <w:r w:rsidRPr="002E4D37">
        <w:rPr>
          <w:rFonts w:ascii="Garamond" w:hAnsi="Garamond" w:cs="ArialMT"/>
        </w:rPr>
        <w:t>“</w:t>
      </w:r>
      <w:r w:rsidRPr="002E4D37">
        <w:rPr>
          <w:rFonts w:ascii="Garamond" w:hAnsi="Garamond" w:cs="ArialMT"/>
        </w:rPr>
        <w:t>origen inmigrante</w:t>
      </w:r>
      <w:r w:rsidRPr="002E4D37">
        <w:rPr>
          <w:rFonts w:ascii="Garamond" w:hAnsi="Garamond" w:cs="ArialMT"/>
        </w:rPr>
        <w:t>”</w:t>
      </w:r>
      <w:r w:rsidRPr="002E4D37">
        <w:rPr>
          <w:rFonts w:ascii="Garamond" w:hAnsi="Garamond" w:cs="ArialMT"/>
        </w:rPr>
        <w:t xml:space="preserve"> revela una evidencia llamativa: una discrepancia en las proporciones que representan al alumnado </w:t>
      </w:r>
      <w:r w:rsidRPr="002E4D37">
        <w:rPr>
          <w:rFonts w:ascii="Garamond" w:hAnsi="Garamond" w:cs="ArialMT"/>
        </w:rPr>
        <w:t>de</w:t>
      </w:r>
      <w:r w:rsidRPr="002E4D37">
        <w:rPr>
          <w:rFonts w:ascii="Garamond" w:hAnsi="Garamond" w:cs="ArialMT"/>
        </w:rPr>
        <w:t xml:space="preserve"> </w:t>
      </w:r>
      <w:r w:rsidRPr="002E4D37">
        <w:rPr>
          <w:rFonts w:ascii="Garamond" w:hAnsi="Garamond" w:cs="ArialMT"/>
        </w:rPr>
        <w:t>“</w:t>
      </w:r>
      <w:r w:rsidRPr="002E4D37">
        <w:rPr>
          <w:rFonts w:ascii="Garamond" w:hAnsi="Garamond" w:cs="ArialMT"/>
        </w:rPr>
        <w:t>origen inmigrante</w:t>
      </w:r>
      <w:r w:rsidRPr="002E4D37">
        <w:rPr>
          <w:rFonts w:ascii="Garamond" w:hAnsi="Garamond" w:cs="ArialMT"/>
        </w:rPr>
        <w:t>”</w:t>
      </w:r>
      <w:r w:rsidRPr="002E4D37">
        <w:rPr>
          <w:rFonts w:ascii="Garamond" w:hAnsi="Garamond" w:cs="ArialMT"/>
        </w:rPr>
        <w:t xml:space="preserve"> en la educación especial. Las encuestas internacionales confirman que “los migrantes y las minorías están desproporcionadamente escolarizadas en ciertas instituciones escolares” (OCDE, 2006: 156). Como ha destacado el Observatorio Europeo del Racismo y la Xenofobia: “en bastantes países miembros de la UE, es frecuente un número excesivo de alumnado migrante y de minorías étnicas en centros específicos” (Observatorio Europeo del Racismo y la Xenofobia, 2005).</w:t>
      </w:r>
    </w:p>
    <w:p w14:paraId="4C5FFEEB" w14:textId="77777777" w:rsidR="005113B9" w:rsidRPr="002E4D37" w:rsidRDefault="005113B9" w:rsidP="002E4D37">
      <w:pPr>
        <w:autoSpaceDE w:val="0"/>
        <w:autoSpaceDN w:val="0"/>
        <w:adjustRightInd w:val="0"/>
        <w:ind w:firstLine="0"/>
        <w:rPr>
          <w:rFonts w:ascii="Garamond" w:hAnsi="Garamond" w:cs="ArialMT"/>
        </w:rPr>
      </w:pPr>
    </w:p>
    <w:p w14:paraId="06150EAA" w14:textId="77777777" w:rsidR="00297871" w:rsidRPr="002E4D37" w:rsidRDefault="002E4D37" w:rsidP="002E4D37">
      <w:pPr>
        <w:ind w:firstLine="0"/>
        <w:rPr>
          <w:rFonts w:ascii="Garamond" w:hAnsi="Garamond"/>
        </w:rPr>
      </w:pPr>
      <w:r w:rsidRPr="002E4D37">
        <w:rPr>
          <w:rFonts w:ascii="Garamond" w:hAnsi="Garamond"/>
        </w:rPr>
        <w:t>Nuestro estudio indaga sobre esta desproporcionada repre</w:t>
      </w:r>
      <w:r>
        <w:rPr>
          <w:rFonts w:ascii="Garamond" w:hAnsi="Garamond"/>
        </w:rPr>
        <w:t>sentación y trata de explicar algunas d</w:t>
      </w:r>
      <w:r w:rsidRPr="002E4D37">
        <w:rPr>
          <w:rFonts w:ascii="Garamond" w:hAnsi="Garamond"/>
        </w:rPr>
        <w:t>e</w:t>
      </w:r>
      <w:r>
        <w:rPr>
          <w:rFonts w:ascii="Garamond" w:hAnsi="Garamond"/>
        </w:rPr>
        <w:t xml:space="preserve"> </w:t>
      </w:r>
      <w:r w:rsidRPr="002E4D37">
        <w:rPr>
          <w:rFonts w:ascii="Garamond" w:hAnsi="Garamond"/>
        </w:rPr>
        <w:t xml:space="preserve">las causas tanto en el contexto de Italia como en el contexto de España. Con el desarrollo de una etnografía en diversos centros escolares del </w:t>
      </w:r>
      <w:r>
        <w:rPr>
          <w:rFonts w:ascii="Garamond" w:hAnsi="Garamond"/>
        </w:rPr>
        <w:t>Sur</w:t>
      </w:r>
      <w:r w:rsidRPr="002E4D37">
        <w:rPr>
          <w:rFonts w:ascii="Garamond" w:hAnsi="Garamond"/>
        </w:rPr>
        <w:t xml:space="preserve"> de Italia y del Sur de España y en contacto con las administraciones educativas y su producción normativa, pretendemos dar algunas explicaciones a esta sobrerrepresentación del alumnado de nacional extranjera dentro del colectivo de “necesidades educativas especiales” en las escuelas</w:t>
      </w:r>
      <w:r>
        <w:rPr>
          <w:rFonts w:ascii="Garamond" w:hAnsi="Garamond"/>
        </w:rPr>
        <w:t>.</w:t>
      </w:r>
    </w:p>
    <w:sectPr w:rsidR="00297871" w:rsidRPr="002E4D37" w:rsidSect="00A26FA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altName w:val="Garamond"/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7"/>
    <w:rsid w:val="00162A37"/>
    <w:rsid w:val="002E4D37"/>
    <w:rsid w:val="005113B9"/>
    <w:rsid w:val="00A2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AF63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4D37"/>
    <w:pPr>
      <w:ind w:firstLine="709"/>
      <w:jc w:val="both"/>
    </w:pPr>
    <w:rPr>
      <w:rFonts w:ascii="Calibri" w:eastAsia="Times New Roman" w:hAnsi="Calibri" w:cs="Times New Roman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502</Words>
  <Characters>2767</Characters>
  <Application>Microsoft Macintosh Word</Application>
  <DocSecurity>0</DocSecurity>
  <Lines>23</Lines>
  <Paragraphs>6</Paragraphs>
  <ScaleCrop>false</ScaleCrop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Javier García Castaño</dc:creator>
  <cp:keywords/>
  <dc:description/>
  <cp:lastModifiedBy>F. Javier García Castaño</cp:lastModifiedBy>
  <cp:revision>2</cp:revision>
  <dcterms:created xsi:type="dcterms:W3CDTF">2016-10-15T19:21:00Z</dcterms:created>
  <dcterms:modified xsi:type="dcterms:W3CDTF">2016-10-15T19:31:00Z</dcterms:modified>
</cp:coreProperties>
</file>