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EDEAB" w14:textId="77777777" w:rsidR="00EC4BAD" w:rsidRPr="00BB33DF" w:rsidRDefault="00EC4BAD" w:rsidP="00BB33DF">
      <w:pPr>
        <w:spacing w:after="0" w:line="240" w:lineRule="auto"/>
        <w:jc w:val="both"/>
        <w:outlineLvl w:val="0"/>
        <w:rPr>
          <w:rFonts w:ascii="Garamond" w:eastAsia="Times New Roman" w:hAnsi="Garamond" w:cs="Garamond"/>
          <w:b/>
          <w:sz w:val="20"/>
          <w:szCs w:val="20"/>
          <w:lang w:eastAsia="ar-SA" w:bidi="hi-IN"/>
        </w:rPr>
      </w:pPr>
      <w:r w:rsidRPr="00BB33DF">
        <w:rPr>
          <w:rFonts w:ascii="Garamond" w:eastAsia="Times New Roman" w:hAnsi="Garamond" w:cs="Garamond"/>
          <w:b/>
          <w:sz w:val="20"/>
          <w:szCs w:val="20"/>
          <w:lang w:eastAsia="ar-SA" w:bidi="hi-IN"/>
        </w:rPr>
        <w:t>ANTROPOLOGÍA Y MIGRACIONES: ¿UN MATRIMONIO DE CONVENIENCIA?</w:t>
      </w:r>
    </w:p>
    <w:p w14:paraId="7490F326" w14:textId="77777777" w:rsidR="00BB33DF" w:rsidRDefault="00BB33DF" w:rsidP="00BB33DF">
      <w:pPr>
        <w:spacing w:after="0" w:line="240" w:lineRule="auto"/>
        <w:jc w:val="both"/>
        <w:rPr>
          <w:rFonts w:ascii="Garamond" w:eastAsia="Times New Roman" w:hAnsi="Garamond" w:cs="Garamond"/>
          <w:b/>
          <w:sz w:val="20"/>
          <w:szCs w:val="20"/>
          <w:lang w:eastAsia="ar-SA" w:bidi="hi-IN"/>
        </w:rPr>
      </w:pPr>
    </w:p>
    <w:p w14:paraId="77CCFF5F" w14:textId="77777777" w:rsidR="00BB33DF" w:rsidRPr="00BB33DF" w:rsidRDefault="00BB33DF" w:rsidP="00BB33DF">
      <w:pPr>
        <w:spacing w:after="0" w:line="240" w:lineRule="auto"/>
        <w:jc w:val="both"/>
        <w:outlineLvl w:val="0"/>
        <w:rPr>
          <w:rFonts w:ascii="Garamond" w:eastAsia="Times New Roman" w:hAnsi="Garamond" w:cs="Garamond"/>
          <w:b/>
          <w:sz w:val="20"/>
          <w:szCs w:val="20"/>
          <w:lang w:eastAsia="ar-SA" w:bidi="hi-IN"/>
        </w:rPr>
      </w:pPr>
      <w:r w:rsidRPr="00BB33DF">
        <w:rPr>
          <w:rFonts w:ascii="Garamond" w:eastAsia="Times New Roman" w:hAnsi="Garamond" w:cs="Garamond"/>
          <w:b/>
          <w:sz w:val="20"/>
          <w:szCs w:val="20"/>
          <w:lang w:eastAsia="ar-SA" w:bidi="hi-IN"/>
        </w:rPr>
        <w:t>José Castilla Segura</w:t>
      </w:r>
    </w:p>
    <w:p w14:paraId="0E6DE869" w14:textId="77777777" w:rsidR="00BB33DF" w:rsidRDefault="00BB33DF" w:rsidP="00BB33DF">
      <w:pPr>
        <w:spacing w:after="0" w:line="240" w:lineRule="auto"/>
        <w:jc w:val="both"/>
        <w:outlineLvl w:val="0"/>
        <w:rPr>
          <w:rFonts w:ascii="Garamond" w:eastAsia="Times New Roman" w:hAnsi="Garamond" w:cs="Garamond"/>
          <w:sz w:val="20"/>
          <w:szCs w:val="20"/>
          <w:lang w:eastAsia="ar-SA" w:bidi="hi-IN"/>
        </w:rPr>
      </w:pPr>
      <w:r>
        <w:rPr>
          <w:rFonts w:ascii="Garamond" w:eastAsia="Times New Roman" w:hAnsi="Garamond" w:cs="Garamond"/>
          <w:sz w:val="20"/>
          <w:szCs w:val="20"/>
          <w:lang w:eastAsia="ar-SA" w:bidi="hi-IN"/>
        </w:rPr>
        <w:t>Instituto de Migraciones, Universidad de Granada</w:t>
      </w:r>
    </w:p>
    <w:p w14:paraId="2979B23A" w14:textId="77777777" w:rsidR="00BB33DF" w:rsidRDefault="00BB33DF" w:rsidP="00BB33DF">
      <w:pPr>
        <w:spacing w:after="0" w:line="240" w:lineRule="auto"/>
        <w:jc w:val="both"/>
        <w:rPr>
          <w:rFonts w:ascii="Garamond" w:eastAsia="Times New Roman" w:hAnsi="Garamond" w:cs="Garamond"/>
          <w:sz w:val="20"/>
          <w:szCs w:val="20"/>
          <w:lang w:eastAsia="ar-SA" w:bidi="hi-IN"/>
        </w:rPr>
      </w:pPr>
    </w:p>
    <w:p w14:paraId="3CB729BF" w14:textId="49AB8608" w:rsidR="00EC4BAD" w:rsidRDefault="00EC4BAD" w:rsidP="00BB33DF">
      <w:pPr>
        <w:spacing w:after="0" w:line="240" w:lineRule="auto"/>
        <w:jc w:val="both"/>
        <w:rPr>
          <w:rFonts w:ascii="Garamond" w:eastAsia="Times New Roman" w:hAnsi="Garamond" w:cs="Garamond"/>
          <w:sz w:val="20"/>
          <w:szCs w:val="20"/>
          <w:lang w:eastAsia="ar-SA" w:bidi="hi-IN"/>
        </w:rPr>
      </w:pPr>
      <w:r>
        <w:rPr>
          <w:rFonts w:ascii="Garamond" w:eastAsia="Times New Roman" w:hAnsi="Garamond" w:cs="Garamond"/>
          <w:sz w:val="20"/>
          <w:szCs w:val="20"/>
          <w:lang w:eastAsia="ar-SA" w:bidi="hi-IN"/>
        </w:rPr>
        <w:t>Desde un andamiaje</w:t>
      </w:r>
      <w:r w:rsidR="00BB33DF"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 </w:t>
      </w:r>
      <w:r>
        <w:rPr>
          <w:rFonts w:ascii="Garamond" w:eastAsia="Times New Roman" w:hAnsi="Garamond" w:cs="Garamond"/>
          <w:sz w:val="20"/>
          <w:szCs w:val="20"/>
          <w:lang w:eastAsia="ar-SA" w:bidi="hi-IN"/>
        </w:rPr>
        <w:t>epistemológico const</w:t>
      </w:r>
      <w:r w:rsidR="00BB33DF"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ructivista de lo socio-cultural y </w:t>
      </w:r>
      <w:r>
        <w:rPr>
          <w:rFonts w:ascii="Garamond" w:eastAsia="Times New Roman" w:hAnsi="Garamond" w:cs="Garamond"/>
          <w:sz w:val="20"/>
          <w:szCs w:val="20"/>
          <w:lang w:eastAsia="ar-SA" w:bidi="hi-IN"/>
        </w:rPr>
        <w:t>desde el paradigma de la complejidad</w:t>
      </w:r>
      <w:r w:rsidR="00757104"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, </w:t>
      </w:r>
      <w:r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 </w:t>
      </w:r>
      <w:r w:rsidR="00BB33DF">
        <w:rPr>
          <w:rFonts w:ascii="Garamond" w:eastAsia="Times New Roman" w:hAnsi="Garamond" w:cs="Garamond"/>
          <w:sz w:val="20"/>
          <w:szCs w:val="20"/>
          <w:lang w:eastAsia="ar-SA" w:bidi="hi-IN"/>
        </w:rPr>
        <w:t>con</w:t>
      </w:r>
      <w:r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 un marco teórico ligad</w:t>
      </w:r>
      <w:r w:rsidR="00757104"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o a las gramáticas de identidad </w:t>
      </w:r>
      <w:r>
        <w:rPr>
          <w:rFonts w:ascii="Garamond" w:eastAsia="Times New Roman" w:hAnsi="Garamond" w:cs="Garamond"/>
          <w:sz w:val="20"/>
          <w:szCs w:val="20"/>
          <w:lang w:eastAsia="ar-SA" w:bidi="hi-IN"/>
        </w:rPr>
        <w:t>alteridad</w:t>
      </w:r>
      <w:r w:rsidR="00BB33DF">
        <w:rPr>
          <w:rFonts w:ascii="Garamond" w:eastAsia="Times New Roman" w:hAnsi="Garamond" w:cs="Garamond"/>
          <w:sz w:val="20"/>
          <w:szCs w:val="20"/>
          <w:lang w:eastAsia="ar-SA" w:bidi="hi-IN"/>
        </w:rPr>
        <w:t>,</w:t>
      </w:r>
      <w:r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 podemos situar al fenómeno </w:t>
      </w:r>
      <w:r w:rsidR="00BB33DF">
        <w:rPr>
          <w:rFonts w:ascii="Garamond" w:eastAsia="Times New Roman" w:hAnsi="Garamond" w:cs="Garamond"/>
          <w:sz w:val="20"/>
          <w:szCs w:val="20"/>
          <w:lang w:eastAsia="ar-SA" w:bidi="hi-IN"/>
        </w:rPr>
        <w:t>de las migraciones</w:t>
      </w:r>
      <w:r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 como un fenómeno social total </w:t>
      </w:r>
      <w:r w:rsidR="00BB33DF"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(y nosotros añadimos global) </w:t>
      </w:r>
      <w:r>
        <w:rPr>
          <w:rFonts w:ascii="Garamond" w:eastAsia="Times New Roman" w:hAnsi="Garamond" w:cs="Garamond"/>
          <w:sz w:val="20"/>
          <w:szCs w:val="20"/>
          <w:lang w:eastAsia="ar-SA" w:bidi="hi-IN"/>
        </w:rPr>
        <w:t>que inv</w:t>
      </w:r>
      <w:r w:rsidR="00BB33DF"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olucra muchos procesos sociales. Se trata de una </w:t>
      </w:r>
      <w:r>
        <w:rPr>
          <w:rFonts w:ascii="Garamond" w:eastAsia="Times New Roman" w:hAnsi="Garamond" w:cs="Garamond"/>
          <w:sz w:val="20"/>
          <w:szCs w:val="20"/>
          <w:lang w:eastAsia="ar-SA" w:bidi="hi-IN"/>
        </w:rPr>
        <w:t>concepción de lo social como “sistema abierto”.</w:t>
      </w:r>
    </w:p>
    <w:p w14:paraId="59C95396" w14:textId="77777777" w:rsidR="00BB33DF" w:rsidRDefault="00BB33DF" w:rsidP="00BB33DF">
      <w:pPr>
        <w:spacing w:after="0" w:line="240" w:lineRule="auto"/>
        <w:jc w:val="both"/>
        <w:rPr>
          <w:rFonts w:ascii="Garamond" w:eastAsia="Times New Roman" w:hAnsi="Garamond" w:cs="Garamond"/>
          <w:sz w:val="20"/>
          <w:szCs w:val="20"/>
          <w:lang w:eastAsia="ar-SA" w:bidi="hi-IN"/>
        </w:rPr>
      </w:pPr>
    </w:p>
    <w:p w14:paraId="1B987B1C" w14:textId="5441BEB7" w:rsidR="00EC4BAD" w:rsidRDefault="00BB33DF" w:rsidP="00BB33DF">
      <w:pPr>
        <w:spacing w:after="0" w:line="240" w:lineRule="auto"/>
        <w:jc w:val="both"/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</w:pPr>
      <w:r>
        <w:rPr>
          <w:rFonts w:ascii="Garamond" w:eastAsia="Times New Roman" w:hAnsi="Garamond" w:cs="Garamond"/>
          <w:sz w:val="20"/>
          <w:szCs w:val="20"/>
          <w:lang w:eastAsia="ar-SA" w:bidi="hi-IN"/>
        </w:rPr>
        <w:t>Entonces y con estas premisas, d</w:t>
      </w:r>
      <w:r w:rsidR="00EC4BAD">
        <w:rPr>
          <w:rFonts w:ascii="Garamond" w:eastAsia="Times New Roman" w:hAnsi="Garamond" w:cs="Garamond"/>
          <w:sz w:val="20"/>
          <w:szCs w:val="20"/>
          <w:lang w:eastAsia="ar-SA" w:bidi="hi-IN"/>
        </w:rPr>
        <w:t>esde el “</w:t>
      </w:r>
      <w:proofErr w:type="spellStart"/>
      <w:r w:rsidR="00EC4BAD">
        <w:rPr>
          <w:rFonts w:ascii="Garamond" w:eastAsia="Times New Roman" w:hAnsi="Garamond" w:cs="Garamond"/>
          <w:sz w:val="20"/>
          <w:szCs w:val="20"/>
          <w:lang w:eastAsia="ar-SA" w:bidi="hi-IN"/>
        </w:rPr>
        <w:t>poliverso</w:t>
      </w:r>
      <w:proofErr w:type="spellEnd"/>
      <w:r w:rsidR="00EC4BAD">
        <w:rPr>
          <w:rFonts w:ascii="Garamond" w:eastAsia="Times New Roman" w:hAnsi="Garamond" w:cs="Garamond"/>
          <w:sz w:val="20"/>
          <w:szCs w:val="20"/>
          <w:lang w:eastAsia="ar-SA" w:bidi="hi-IN"/>
        </w:rPr>
        <w:t>” de las Ciencias Sociales justificaremos</w:t>
      </w:r>
      <w:r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 </w:t>
      </w:r>
      <w:r w:rsidR="00EC4BAD">
        <w:rPr>
          <w:rFonts w:ascii="Garamond" w:eastAsia="Times New Roman" w:hAnsi="Garamond" w:cs="Garamond"/>
          <w:sz w:val="20"/>
          <w:szCs w:val="20"/>
          <w:lang w:eastAsia="ar-SA" w:bidi="hi-IN"/>
        </w:rPr>
        <w:t>el papel de la Antropología en este periplo,</w:t>
      </w:r>
      <w:r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 </w:t>
      </w:r>
      <w:r w:rsidR="00EC4BAD">
        <w:rPr>
          <w:rFonts w:ascii="Garamond" w:eastAsia="Times New Roman" w:hAnsi="Garamond" w:cs="Garamond"/>
          <w:sz w:val="20"/>
          <w:szCs w:val="20"/>
          <w:lang w:eastAsia="ar-SA" w:bidi="hi-IN"/>
        </w:rPr>
        <w:t xml:space="preserve">pese a </w:t>
      </w:r>
      <w:r w:rsidR="00EC4BAD"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 xml:space="preserve">sintomatologías de crisis y su responsabilidad de la </w:t>
      </w:r>
      <w:proofErr w:type="spellStart"/>
      <w:r w:rsidR="00EC4BAD"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>esencialización</w:t>
      </w:r>
      <w:proofErr w:type="spellEnd"/>
      <w:r w:rsidR="00EC4BAD"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 xml:space="preserve"> de las </w:t>
      </w:r>
      <w:r w:rsidR="00EC4BAD">
        <w:rPr>
          <w:rFonts w:ascii="Garamond" w:eastAsia="Times New Roman" w:hAnsi="Garamond" w:cs="Garamond"/>
          <w:i/>
          <w:sz w:val="20"/>
          <w:szCs w:val="20"/>
          <w:lang w:val="es-ES_tradnl" w:eastAsia="ar-SA" w:bidi="hi-IN"/>
        </w:rPr>
        <w:t xml:space="preserve">culturas, </w:t>
      </w:r>
      <w:r w:rsidR="00EC4BAD"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>evitando caer en los sistemas de clasificación académicos que se pueden denominar</w:t>
      </w:r>
      <w:r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 xml:space="preserve"> </w:t>
      </w:r>
      <w:r w:rsidR="00EC4BAD"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>“taxonomías indígenas”.</w:t>
      </w:r>
    </w:p>
    <w:p w14:paraId="43B79DF0" w14:textId="77777777" w:rsidR="00BB33DF" w:rsidRDefault="00BB33DF" w:rsidP="00BB33DF">
      <w:pPr>
        <w:spacing w:after="0" w:line="240" w:lineRule="auto"/>
        <w:jc w:val="both"/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</w:pPr>
    </w:p>
    <w:p w14:paraId="7632E5F0" w14:textId="49AD1E1F" w:rsidR="002C6F73" w:rsidRPr="00BB33DF" w:rsidRDefault="00EC4BAD" w:rsidP="00BB33DF">
      <w:pPr>
        <w:spacing w:after="0" w:line="240" w:lineRule="auto"/>
        <w:jc w:val="both"/>
        <w:rPr>
          <w:rFonts w:ascii="Garamond" w:hAnsi="Garamond"/>
          <w:sz w:val="20"/>
          <w:szCs w:val="20"/>
          <w:lang w:val="es-ES_tradnl" w:eastAsia="ar-SA"/>
        </w:rPr>
      </w:pPr>
      <w:r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>Son las relaciones entre prácticas sociales, experiencias</w:t>
      </w:r>
      <w:r w:rsidR="003247B1"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 xml:space="preserve"> colectivas</w:t>
      </w:r>
      <w:r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 xml:space="preserve"> y clasificaciones, pero también el relacionar la identidad con la alteridad desde una perspectiva dialéctica y </w:t>
      </w:r>
      <w:r w:rsidR="003247B1"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 xml:space="preserve">en </w:t>
      </w:r>
      <w:r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 xml:space="preserve">condiciones </w:t>
      </w:r>
      <w:r w:rsidR="003247B1"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 xml:space="preserve">geográficas e </w:t>
      </w:r>
      <w:r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>históricas específicas</w:t>
      </w:r>
      <w:r w:rsidR="001F26E0"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>,</w:t>
      </w:r>
      <w:r w:rsidR="00BB33DF"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 xml:space="preserve"> </w:t>
      </w:r>
      <w:r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 xml:space="preserve">el lugar más propicio </w:t>
      </w:r>
      <w:r w:rsidR="001F26E0"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>para</w:t>
      </w:r>
      <w:r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 xml:space="preserve"> que una antropología </w:t>
      </w:r>
      <w:r>
        <w:rPr>
          <w:rFonts w:ascii="Garamond" w:hAnsi="Garamond"/>
          <w:sz w:val="20"/>
          <w:szCs w:val="20"/>
          <w:lang w:val="es-ES_tradnl" w:eastAsia="ar-SA"/>
        </w:rPr>
        <w:t xml:space="preserve">crítica y </w:t>
      </w:r>
      <w:proofErr w:type="spellStart"/>
      <w:r>
        <w:rPr>
          <w:rFonts w:ascii="Garamond" w:hAnsi="Garamond"/>
          <w:sz w:val="20"/>
          <w:szCs w:val="20"/>
          <w:lang w:val="es-ES_tradnl" w:eastAsia="ar-SA"/>
        </w:rPr>
        <w:t>crísica</w:t>
      </w:r>
      <w:proofErr w:type="spellEnd"/>
      <w:r>
        <w:rPr>
          <w:rFonts w:ascii="Garamond" w:hAnsi="Garamond"/>
          <w:sz w:val="20"/>
          <w:szCs w:val="20"/>
          <w:lang w:val="es-ES_tradnl" w:eastAsia="ar-SA"/>
        </w:rPr>
        <w:t xml:space="preserve">, constructivista, a veces </w:t>
      </w:r>
      <w:proofErr w:type="spellStart"/>
      <w:r>
        <w:rPr>
          <w:rFonts w:ascii="Garamond" w:hAnsi="Garamond"/>
          <w:sz w:val="20"/>
          <w:szCs w:val="20"/>
          <w:lang w:val="es-ES_tradnl" w:eastAsia="ar-SA"/>
        </w:rPr>
        <w:t>adisciplinar</w:t>
      </w:r>
      <w:proofErr w:type="spellEnd"/>
      <w:r>
        <w:rPr>
          <w:rFonts w:ascii="Garamond" w:hAnsi="Garamond"/>
          <w:sz w:val="20"/>
          <w:szCs w:val="20"/>
          <w:lang w:val="es-ES_tradnl" w:eastAsia="ar-SA"/>
        </w:rPr>
        <w:t xml:space="preserve">, científica (no </w:t>
      </w:r>
      <w:proofErr w:type="spellStart"/>
      <w:r>
        <w:rPr>
          <w:rFonts w:ascii="Garamond" w:hAnsi="Garamond"/>
          <w:sz w:val="20"/>
          <w:szCs w:val="20"/>
          <w:lang w:val="es-ES_tradnl" w:eastAsia="ar-SA"/>
        </w:rPr>
        <w:t>cientifista</w:t>
      </w:r>
      <w:proofErr w:type="spellEnd"/>
      <w:r>
        <w:rPr>
          <w:rFonts w:ascii="Garamond" w:hAnsi="Garamond"/>
          <w:sz w:val="20"/>
          <w:szCs w:val="20"/>
          <w:lang w:val="es-ES_tradnl" w:eastAsia="ar-SA"/>
        </w:rPr>
        <w:t xml:space="preserve">) y </w:t>
      </w:r>
      <w:proofErr w:type="spellStart"/>
      <w:r>
        <w:rPr>
          <w:rFonts w:ascii="Garamond" w:hAnsi="Garamond"/>
          <w:sz w:val="20"/>
          <w:szCs w:val="20"/>
          <w:lang w:val="es-ES_tradnl" w:eastAsia="ar-SA"/>
        </w:rPr>
        <w:t>transescalar</w:t>
      </w:r>
      <w:proofErr w:type="spellEnd"/>
      <w:r w:rsidR="001F26E0">
        <w:rPr>
          <w:rFonts w:ascii="Garamond" w:hAnsi="Garamond"/>
          <w:sz w:val="20"/>
          <w:szCs w:val="20"/>
          <w:lang w:val="es-ES_tradnl" w:eastAsia="ar-SA"/>
        </w:rPr>
        <w:t>,</w:t>
      </w:r>
      <w:r>
        <w:rPr>
          <w:rFonts w:ascii="Garamond" w:hAnsi="Garamond"/>
          <w:sz w:val="20"/>
          <w:szCs w:val="20"/>
          <w:lang w:val="es-ES_tradnl" w:eastAsia="ar-SA"/>
        </w:rPr>
        <w:t xml:space="preserve"> </w:t>
      </w:r>
      <w:r>
        <w:rPr>
          <w:rFonts w:ascii="Garamond" w:eastAsia="Times New Roman" w:hAnsi="Garamond" w:cs="Garamond"/>
          <w:sz w:val="20"/>
          <w:szCs w:val="20"/>
          <w:lang w:val="es-ES_tradnl" w:eastAsia="ar-SA" w:bidi="hi-IN"/>
        </w:rPr>
        <w:t xml:space="preserve">puede aportar su presencia </w:t>
      </w:r>
      <w:r>
        <w:rPr>
          <w:rFonts w:ascii="Garamond" w:hAnsi="Garamond"/>
          <w:sz w:val="20"/>
          <w:szCs w:val="20"/>
          <w:lang w:val="es-ES_tradnl" w:eastAsia="ar-SA"/>
        </w:rPr>
        <w:t xml:space="preserve">como ciencia social más capaz de incardinar las perspectivas macro y micro. </w:t>
      </w:r>
      <w:r w:rsidR="001F26E0">
        <w:rPr>
          <w:rFonts w:ascii="Garamond" w:hAnsi="Garamond"/>
          <w:sz w:val="20"/>
          <w:szCs w:val="20"/>
          <w:lang w:val="es-ES_tradnl" w:eastAsia="ar-SA"/>
        </w:rPr>
        <w:t xml:space="preserve">Es en eso contexto epistémico en el que se puede reflexionar sobre las relaciones entre una disciplina (la Antropología) y un fenómeno demográfico (la movilidad humana en términos d emigración) que se </w:t>
      </w:r>
      <w:proofErr w:type="spellStart"/>
      <w:r w:rsidR="001F26E0">
        <w:rPr>
          <w:rFonts w:ascii="Garamond" w:hAnsi="Garamond"/>
          <w:sz w:val="20"/>
          <w:szCs w:val="20"/>
          <w:lang w:val="es-ES_tradnl" w:eastAsia="ar-SA"/>
        </w:rPr>
        <w:t>se</w:t>
      </w:r>
      <w:proofErr w:type="spellEnd"/>
      <w:r w:rsidR="001F26E0">
        <w:rPr>
          <w:rFonts w:ascii="Garamond" w:hAnsi="Garamond"/>
          <w:sz w:val="20"/>
          <w:szCs w:val="20"/>
          <w:lang w:val="es-ES_tradnl" w:eastAsia="ar-SA"/>
        </w:rPr>
        <w:t xml:space="preserve"> debe pensar como fenómeno social total-global. Y es en él en el que explicaremos la conveniencia de</w:t>
      </w:r>
      <w:bookmarkStart w:id="0" w:name="_GoBack"/>
      <w:bookmarkEnd w:id="0"/>
      <w:r w:rsidR="001F26E0">
        <w:rPr>
          <w:rFonts w:ascii="Garamond" w:hAnsi="Garamond"/>
          <w:sz w:val="20"/>
          <w:szCs w:val="20"/>
          <w:lang w:val="es-ES_tradnl" w:eastAsia="ar-SA"/>
        </w:rPr>
        <w:t xml:space="preserve"> la primera por “maridarse” al estudiar el segundo</w:t>
      </w:r>
      <w:r w:rsidR="003C44A8">
        <w:rPr>
          <w:rFonts w:ascii="Garamond" w:hAnsi="Garamond"/>
          <w:sz w:val="20"/>
          <w:szCs w:val="20"/>
          <w:lang w:val="es-ES_tradnl" w:eastAsia="ar-SA"/>
        </w:rPr>
        <w:t>.</w:t>
      </w:r>
    </w:p>
    <w:sectPr w:rsidR="002C6F73" w:rsidRPr="00BB33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AD"/>
    <w:rsid w:val="001F26E0"/>
    <w:rsid w:val="002206A8"/>
    <w:rsid w:val="003247B1"/>
    <w:rsid w:val="003C44A8"/>
    <w:rsid w:val="00757104"/>
    <w:rsid w:val="008F1E3D"/>
    <w:rsid w:val="00B634FC"/>
    <w:rsid w:val="00BB33DF"/>
    <w:rsid w:val="00D060A6"/>
    <w:rsid w:val="00EC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2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B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BB33D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33D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B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BB33D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33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pepekas</dc:creator>
  <cp:lastModifiedBy>pepekas</cp:lastModifiedBy>
  <cp:revision>2</cp:revision>
  <dcterms:created xsi:type="dcterms:W3CDTF">2016-10-15T10:10:00Z</dcterms:created>
  <dcterms:modified xsi:type="dcterms:W3CDTF">2016-10-15T10:10:00Z</dcterms:modified>
</cp:coreProperties>
</file>