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FA5" w:rsidRDefault="00982FA5" w:rsidP="002C1A48">
      <w:pPr>
        <w:pStyle w:val="NormalWeb"/>
        <w:spacing w:before="0" w:beforeAutospacing="0" w:after="0"/>
        <w:rPr>
          <w:rFonts w:ascii="Ebrima" w:hAnsi="Ebrima"/>
          <w:b/>
          <w:sz w:val="22"/>
          <w:szCs w:val="22"/>
          <w:lang w:val="es-ES"/>
        </w:rPr>
      </w:pPr>
      <w:r w:rsidRPr="007E328F">
        <w:rPr>
          <w:rFonts w:ascii="Ebrima" w:hAnsi="Ebrima"/>
          <w:b/>
          <w:sz w:val="22"/>
          <w:szCs w:val="22"/>
          <w:lang w:val="es-ES"/>
        </w:rPr>
        <w:t xml:space="preserve">De </w:t>
      </w:r>
      <w:proofErr w:type="spellStart"/>
      <w:r w:rsidRPr="007E328F">
        <w:rPr>
          <w:rFonts w:ascii="Ebrima" w:hAnsi="Ebrima"/>
          <w:b/>
          <w:sz w:val="22"/>
          <w:szCs w:val="22"/>
          <w:lang w:val="es-ES"/>
        </w:rPr>
        <w:t>presenti</w:t>
      </w:r>
      <w:r w:rsidR="0026552E">
        <w:rPr>
          <w:rFonts w:ascii="Ebrima" w:hAnsi="Ebrima"/>
          <w:b/>
          <w:sz w:val="22"/>
          <w:szCs w:val="22"/>
          <w:lang w:val="es-ES"/>
        </w:rPr>
        <w:t>s</w:t>
      </w:r>
      <w:r w:rsidRPr="007E328F">
        <w:rPr>
          <w:rFonts w:ascii="Ebrima" w:hAnsi="Ebrima"/>
          <w:b/>
          <w:sz w:val="22"/>
          <w:szCs w:val="22"/>
          <w:lang w:val="es-ES"/>
        </w:rPr>
        <w:t>tas</w:t>
      </w:r>
      <w:proofErr w:type="spellEnd"/>
      <w:r w:rsidRPr="007E328F">
        <w:rPr>
          <w:rFonts w:ascii="Ebrima" w:hAnsi="Ebrima"/>
          <w:b/>
          <w:sz w:val="22"/>
          <w:szCs w:val="22"/>
          <w:lang w:val="es-ES"/>
        </w:rPr>
        <w:t xml:space="preserve"> a futuristas. El campes</w:t>
      </w:r>
      <w:r w:rsidR="007E328F" w:rsidRPr="007E328F">
        <w:rPr>
          <w:rFonts w:ascii="Ebrima" w:hAnsi="Ebrima"/>
          <w:b/>
          <w:sz w:val="22"/>
          <w:szCs w:val="22"/>
          <w:lang w:val="es-ES"/>
        </w:rPr>
        <w:t>inado catalán en la encrucijada.</w:t>
      </w:r>
    </w:p>
    <w:p w:rsidR="002C1A48" w:rsidRPr="002C1A48" w:rsidRDefault="002C1A48" w:rsidP="002C1A48">
      <w:pPr>
        <w:pStyle w:val="NormalWeb"/>
        <w:spacing w:before="0" w:beforeAutospacing="0" w:after="0"/>
        <w:rPr>
          <w:rFonts w:ascii="Ebrima" w:hAnsi="Ebrima"/>
          <w:sz w:val="22"/>
          <w:szCs w:val="22"/>
          <w:lang w:val="es-ES"/>
        </w:rPr>
      </w:pPr>
      <w:r w:rsidRPr="002C1A48">
        <w:rPr>
          <w:rFonts w:ascii="Ebrima" w:hAnsi="Ebrima"/>
          <w:sz w:val="22"/>
          <w:szCs w:val="22"/>
          <w:lang w:val="es-ES"/>
        </w:rPr>
        <w:t xml:space="preserve">Gemma Casal </w:t>
      </w:r>
      <w:proofErr w:type="spellStart"/>
      <w:r w:rsidRPr="002C1A48">
        <w:rPr>
          <w:rFonts w:ascii="Ebrima" w:hAnsi="Ebrima"/>
          <w:sz w:val="22"/>
          <w:szCs w:val="22"/>
          <w:lang w:val="es-ES"/>
        </w:rPr>
        <w:t>Fité</w:t>
      </w:r>
      <w:proofErr w:type="spellEnd"/>
    </w:p>
    <w:p w:rsidR="002C1A48" w:rsidRPr="002C1A48" w:rsidRDefault="002C1A48" w:rsidP="002C1A48">
      <w:pPr>
        <w:pStyle w:val="NormalWeb"/>
        <w:spacing w:before="0" w:beforeAutospacing="0" w:after="0"/>
        <w:rPr>
          <w:rFonts w:ascii="Ebrima" w:hAnsi="Ebrima"/>
          <w:sz w:val="22"/>
          <w:szCs w:val="22"/>
          <w:lang w:val="es-ES"/>
        </w:rPr>
      </w:pPr>
      <w:proofErr w:type="spellStart"/>
      <w:r w:rsidRPr="002C1A48">
        <w:rPr>
          <w:rFonts w:ascii="Ebrima" w:hAnsi="Ebrima"/>
          <w:sz w:val="22"/>
          <w:szCs w:val="22"/>
          <w:lang w:val="es-ES"/>
        </w:rPr>
        <w:t>Universitat</w:t>
      </w:r>
      <w:proofErr w:type="spellEnd"/>
      <w:r w:rsidRPr="002C1A48">
        <w:rPr>
          <w:rFonts w:ascii="Ebrima" w:hAnsi="Ebrima"/>
          <w:sz w:val="22"/>
          <w:szCs w:val="22"/>
          <w:lang w:val="es-ES"/>
        </w:rPr>
        <w:t xml:space="preserve"> Rovira i </w:t>
      </w:r>
      <w:proofErr w:type="spellStart"/>
      <w:r w:rsidRPr="002C1A48">
        <w:rPr>
          <w:rFonts w:ascii="Ebrima" w:hAnsi="Ebrima"/>
          <w:sz w:val="22"/>
          <w:szCs w:val="22"/>
          <w:lang w:val="es-ES"/>
        </w:rPr>
        <w:t>Virgili</w:t>
      </w:r>
      <w:proofErr w:type="spellEnd"/>
    </w:p>
    <w:p w:rsidR="00982FA5" w:rsidRDefault="00982FA5" w:rsidP="009B1DB2">
      <w:pPr>
        <w:pStyle w:val="NormalWeb"/>
        <w:spacing w:after="0"/>
        <w:rPr>
          <w:rFonts w:ascii="Ebrima" w:hAnsi="Ebrima"/>
          <w:sz w:val="22"/>
          <w:szCs w:val="22"/>
          <w:lang w:val="es-ES"/>
        </w:rPr>
      </w:pPr>
      <w:r>
        <w:rPr>
          <w:rFonts w:ascii="Ebrima" w:hAnsi="Ebrima"/>
          <w:sz w:val="22"/>
          <w:szCs w:val="22"/>
          <w:lang w:val="es-ES"/>
        </w:rPr>
        <w:t xml:space="preserve">Esta propuesta de comunicación forma parte de los resultados de análisis del trabajo etnográfico y documental de mi tesis doctoral sobre las estrategias adaptativas del campesinado catalán ante la globalización </w:t>
      </w:r>
      <w:r w:rsidR="000763F0">
        <w:rPr>
          <w:rFonts w:ascii="Ebrima" w:hAnsi="Ebrima"/>
          <w:sz w:val="22"/>
          <w:szCs w:val="22"/>
          <w:lang w:val="es-ES"/>
        </w:rPr>
        <w:t>y</w:t>
      </w:r>
      <w:r>
        <w:rPr>
          <w:rFonts w:ascii="Ebrima" w:hAnsi="Ebrima"/>
          <w:sz w:val="22"/>
          <w:szCs w:val="22"/>
          <w:lang w:val="es-ES"/>
        </w:rPr>
        <w:t xml:space="preserve"> el cambio social agrario del siglo XXI. La comunicación se centra en las respuestas del campesinado ante la propuesta de un parque agrario en la Horta de Lleida.</w:t>
      </w:r>
    </w:p>
    <w:p w:rsidR="0026552E" w:rsidRDefault="003F47BE" w:rsidP="009B1DB2">
      <w:pPr>
        <w:pStyle w:val="NormalWeb"/>
        <w:spacing w:after="0"/>
        <w:rPr>
          <w:rFonts w:ascii="Ebrima" w:hAnsi="Ebrima"/>
          <w:sz w:val="22"/>
          <w:szCs w:val="22"/>
          <w:lang w:val="es-ES"/>
        </w:rPr>
      </w:pPr>
      <w:r>
        <w:rPr>
          <w:rFonts w:ascii="Ebrima" w:hAnsi="Ebrima"/>
          <w:sz w:val="22"/>
          <w:szCs w:val="22"/>
          <w:lang w:val="es-ES"/>
        </w:rPr>
        <w:t>Las</w:t>
      </w:r>
      <w:r w:rsidR="009B1DB2" w:rsidRPr="009B1DB2">
        <w:rPr>
          <w:rFonts w:ascii="Ebrima" w:hAnsi="Ebrima"/>
          <w:sz w:val="22"/>
          <w:szCs w:val="22"/>
          <w:lang w:val="es-ES"/>
        </w:rPr>
        <w:t xml:space="preserve"> políticas agrarias de la Unión Europea </w:t>
      </w:r>
      <w:r>
        <w:rPr>
          <w:rFonts w:ascii="Ebrima" w:hAnsi="Ebrima"/>
          <w:sz w:val="22"/>
          <w:szCs w:val="22"/>
          <w:lang w:val="es-ES"/>
        </w:rPr>
        <w:t>y</w:t>
      </w:r>
      <w:r w:rsidR="007E328F">
        <w:rPr>
          <w:rFonts w:ascii="Ebrima" w:hAnsi="Ebrima"/>
          <w:sz w:val="22"/>
          <w:szCs w:val="22"/>
          <w:lang w:val="es-ES"/>
        </w:rPr>
        <w:t xml:space="preserve"> de la OMC h</w:t>
      </w:r>
      <w:r w:rsidR="000763F0">
        <w:rPr>
          <w:rFonts w:ascii="Ebrima" w:hAnsi="Ebrima"/>
          <w:sz w:val="22"/>
          <w:szCs w:val="22"/>
          <w:lang w:val="es-ES"/>
        </w:rPr>
        <w:t>a</w:t>
      </w:r>
      <w:r>
        <w:rPr>
          <w:rFonts w:ascii="Ebrima" w:hAnsi="Ebrima"/>
          <w:sz w:val="22"/>
          <w:szCs w:val="22"/>
          <w:lang w:val="es-ES"/>
        </w:rPr>
        <w:t>n</w:t>
      </w:r>
      <w:r w:rsidR="007E328F">
        <w:rPr>
          <w:rFonts w:ascii="Ebrima" w:hAnsi="Ebrima"/>
          <w:sz w:val="22"/>
          <w:szCs w:val="22"/>
          <w:lang w:val="es-ES"/>
        </w:rPr>
        <w:t xml:space="preserve"> supuesto la </w:t>
      </w:r>
      <w:r w:rsidR="000763F0">
        <w:rPr>
          <w:rFonts w:ascii="Ebrima" w:hAnsi="Ebrima"/>
          <w:sz w:val="22"/>
          <w:szCs w:val="22"/>
          <w:lang w:val="es-ES"/>
        </w:rPr>
        <w:t xml:space="preserve">consolidación </w:t>
      </w:r>
      <w:r w:rsidR="007E328F">
        <w:rPr>
          <w:rFonts w:ascii="Ebrima" w:hAnsi="Ebrima"/>
          <w:sz w:val="22"/>
          <w:szCs w:val="22"/>
          <w:lang w:val="es-ES"/>
        </w:rPr>
        <w:t>de un</w:t>
      </w:r>
      <w:r w:rsidR="00982FA5">
        <w:rPr>
          <w:rFonts w:ascii="Ebrima" w:hAnsi="Ebrima"/>
          <w:sz w:val="22"/>
          <w:szCs w:val="22"/>
          <w:lang w:val="es-ES"/>
        </w:rPr>
        <w:t xml:space="preserve"> modelo de intensificación </w:t>
      </w:r>
      <w:r w:rsidR="000763F0">
        <w:rPr>
          <w:rFonts w:ascii="Ebrima" w:hAnsi="Ebrima"/>
          <w:sz w:val="22"/>
          <w:szCs w:val="22"/>
          <w:lang w:val="es-ES"/>
        </w:rPr>
        <w:t xml:space="preserve">y especialización agraria. La agricultura familiar, aún mayoritaria en el sector primario </w:t>
      </w:r>
      <w:r>
        <w:rPr>
          <w:rFonts w:ascii="Ebrima" w:hAnsi="Ebrima"/>
          <w:sz w:val="22"/>
          <w:szCs w:val="22"/>
          <w:lang w:val="es-ES"/>
        </w:rPr>
        <w:t>catalán</w:t>
      </w:r>
      <w:r w:rsidR="000763F0">
        <w:rPr>
          <w:rFonts w:ascii="Ebrima" w:hAnsi="Ebrima"/>
          <w:sz w:val="22"/>
          <w:szCs w:val="22"/>
          <w:lang w:val="es-ES"/>
        </w:rPr>
        <w:t>, ha incorporado sus procesos productivos a las demandas de las cadenas de distribución</w:t>
      </w:r>
      <w:bookmarkStart w:id="0" w:name="_GoBack"/>
      <w:bookmarkEnd w:id="0"/>
      <w:r w:rsidR="000763F0">
        <w:rPr>
          <w:rFonts w:ascii="Ebrima" w:hAnsi="Ebrima"/>
          <w:sz w:val="22"/>
          <w:szCs w:val="22"/>
          <w:lang w:val="es-ES"/>
        </w:rPr>
        <w:t xml:space="preserve">, la producción familiar ha sido integrada a las estrategias comercializadoras de las grandes corporaciones. Este es el caso de zonas de gran intensificación productiva como el poniente catalán, donde la fruta dulce es el gran activo económico. </w:t>
      </w:r>
      <w:r w:rsidR="00F332F5">
        <w:rPr>
          <w:rFonts w:ascii="Ebrima" w:hAnsi="Ebrima"/>
          <w:sz w:val="22"/>
          <w:szCs w:val="22"/>
          <w:lang w:val="es-ES"/>
        </w:rPr>
        <w:t>Los planes hidro</w:t>
      </w:r>
      <w:r w:rsidR="00381F54">
        <w:rPr>
          <w:rFonts w:ascii="Ebrima" w:hAnsi="Ebrima"/>
          <w:sz w:val="22"/>
          <w:szCs w:val="22"/>
          <w:lang w:val="es-ES"/>
        </w:rPr>
        <w:t>lógico</w:t>
      </w:r>
      <w:r w:rsidR="009E4EA7">
        <w:rPr>
          <w:rFonts w:ascii="Ebrima" w:hAnsi="Ebrima"/>
          <w:sz w:val="22"/>
          <w:szCs w:val="22"/>
          <w:lang w:val="es-ES"/>
        </w:rPr>
        <w:t>s han supuesto una nueva desposesión de las culturas agrarias</w:t>
      </w:r>
      <w:r w:rsidR="00381F54">
        <w:rPr>
          <w:rFonts w:ascii="Ebrima" w:hAnsi="Ebrima"/>
          <w:sz w:val="22"/>
          <w:szCs w:val="22"/>
          <w:lang w:val="es-ES"/>
        </w:rPr>
        <w:t xml:space="preserve"> y ha aumentado la especulación sobre el valor de la tierra</w:t>
      </w:r>
      <w:r w:rsidR="009E4EA7">
        <w:rPr>
          <w:rFonts w:ascii="Ebrima" w:hAnsi="Ebrima"/>
          <w:sz w:val="22"/>
          <w:szCs w:val="22"/>
          <w:lang w:val="es-ES"/>
        </w:rPr>
        <w:t xml:space="preserve">, las zonas de secano desaparecen rápidamente y se reconvierten en nuevas zonas de producción de fruta dulce para un mercado que sufre constantemente el </w:t>
      </w:r>
      <w:r w:rsidR="009E4EA7" w:rsidRPr="00381F54">
        <w:rPr>
          <w:rFonts w:ascii="Ebrima" w:hAnsi="Ebrima"/>
          <w:i/>
          <w:sz w:val="22"/>
          <w:szCs w:val="22"/>
          <w:lang w:val="es-ES"/>
        </w:rPr>
        <w:t>dumping</w:t>
      </w:r>
      <w:r w:rsidR="009E4EA7">
        <w:rPr>
          <w:rFonts w:ascii="Ebrima" w:hAnsi="Ebrima"/>
          <w:sz w:val="22"/>
          <w:szCs w:val="22"/>
          <w:lang w:val="es-ES"/>
        </w:rPr>
        <w:t xml:space="preserve"> y la especulación de las grandes corporaciones agroalimentarias</w:t>
      </w:r>
      <w:r>
        <w:rPr>
          <w:rFonts w:ascii="Ebrima" w:hAnsi="Ebrima"/>
          <w:sz w:val="22"/>
          <w:szCs w:val="22"/>
          <w:lang w:val="es-ES"/>
        </w:rPr>
        <w:t xml:space="preserve"> o bien en zonas de reconversión urbanística</w:t>
      </w:r>
      <w:r w:rsidR="009E4EA7">
        <w:rPr>
          <w:rFonts w:ascii="Ebrima" w:hAnsi="Ebrima"/>
          <w:sz w:val="22"/>
          <w:szCs w:val="22"/>
          <w:lang w:val="es-ES"/>
        </w:rPr>
        <w:t xml:space="preserve">. </w:t>
      </w:r>
      <w:r w:rsidR="000763F0">
        <w:rPr>
          <w:rFonts w:ascii="Ebrima" w:hAnsi="Ebrima"/>
          <w:sz w:val="22"/>
          <w:szCs w:val="22"/>
          <w:lang w:val="es-ES"/>
        </w:rPr>
        <w:t>Entre las explotaciones fruteras se están desarrol</w:t>
      </w:r>
      <w:r w:rsidR="009E4EA7">
        <w:rPr>
          <w:rFonts w:ascii="Ebrima" w:hAnsi="Ebrima"/>
          <w:sz w:val="22"/>
          <w:szCs w:val="22"/>
          <w:lang w:val="es-ES"/>
        </w:rPr>
        <w:t>l</w:t>
      </w:r>
      <w:r w:rsidR="000763F0">
        <w:rPr>
          <w:rFonts w:ascii="Ebrima" w:hAnsi="Ebrima"/>
          <w:sz w:val="22"/>
          <w:szCs w:val="22"/>
          <w:lang w:val="es-ES"/>
        </w:rPr>
        <w:t xml:space="preserve">ando algunas experiencias agroecológicas que presentan una alternativa al modelo productivo y comercial. </w:t>
      </w:r>
      <w:r w:rsidR="009E4EA7">
        <w:rPr>
          <w:rFonts w:ascii="Ebrima" w:hAnsi="Ebrima"/>
          <w:sz w:val="22"/>
          <w:szCs w:val="22"/>
          <w:lang w:val="es-ES"/>
        </w:rPr>
        <w:t>En el último año agricultores</w:t>
      </w:r>
      <w:r w:rsidR="00381F54">
        <w:rPr>
          <w:rFonts w:ascii="Ebrima" w:hAnsi="Ebrima"/>
          <w:sz w:val="22"/>
          <w:szCs w:val="22"/>
          <w:lang w:val="es-ES"/>
        </w:rPr>
        <w:t xml:space="preserve"> ecológicos</w:t>
      </w:r>
      <w:r w:rsidR="009E4EA7">
        <w:rPr>
          <w:rFonts w:ascii="Ebrima" w:hAnsi="Ebrima"/>
          <w:sz w:val="22"/>
          <w:szCs w:val="22"/>
          <w:lang w:val="es-ES"/>
        </w:rPr>
        <w:t xml:space="preserve"> y organizaciones sociales han puesto sobre la mesa el debate sobre la creación de un parque agrario en la Horta de Lleida. La reacción de los sindicatos agrarios mayoritarios en la zona</w:t>
      </w:r>
      <w:r w:rsidR="00381F54">
        <w:rPr>
          <w:rFonts w:ascii="Ebrima" w:hAnsi="Ebrima"/>
          <w:sz w:val="22"/>
          <w:szCs w:val="22"/>
          <w:lang w:val="es-ES"/>
        </w:rPr>
        <w:t xml:space="preserve"> ha sido la de la oposición total ante la posible pérdida de valor </w:t>
      </w:r>
      <w:r w:rsidR="00F332F5">
        <w:rPr>
          <w:rFonts w:ascii="Ebrima" w:hAnsi="Ebrima"/>
          <w:sz w:val="22"/>
          <w:szCs w:val="22"/>
          <w:lang w:val="es-ES"/>
        </w:rPr>
        <w:t xml:space="preserve">especulativo </w:t>
      </w:r>
      <w:r w:rsidR="00381F54">
        <w:rPr>
          <w:rFonts w:ascii="Ebrima" w:hAnsi="Ebrima"/>
          <w:sz w:val="22"/>
          <w:szCs w:val="22"/>
          <w:lang w:val="es-ES"/>
        </w:rPr>
        <w:t>de la tierra y la posibilidad de aumento de medidas agroambientales.</w:t>
      </w:r>
    </w:p>
    <w:p w:rsidR="0026552E" w:rsidRDefault="0026552E" w:rsidP="009B1DB2">
      <w:pPr>
        <w:pStyle w:val="NormalWeb"/>
        <w:spacing w:after="0"/>
        <w:rPr>
          <w:rFonts w:ascii="Ebrima" w:hAnsi="Ebrima"/>
          <w:sz w:val="22"/>
          <w:szCs w:val="22"/>
          <w:lang w:val="es-ES"/>
        </w:rPr>
      </w:pPr>
      <w:r>
        <w:rPr>
          <w:rFonts w:ascii="Ebrima" w:hAnsi="Ebrima"/>
          <w:sz w:val="22"/>
          <w:szCs w:val="22"/>
          <w:lang w:val="es-ES"/>
        </w:rPr>
        <w:t xml:space="preserve">El escritor Josep </w:t>
      </w:r>
      <w:proofErr w:type="spellStart"/>
      <w:r>
        <w:rPr>
          <w:rFonts w:ascii="Ebrima" w:hAnsi="Ebrima"/>
          <w:sz w:val="22"/>
          <w:szCs w:val="22"/>
          <w:lang w:val="es-ES"/>
        </w:rPr>
        <w:t>Vallverdú</w:t>
      </w:r>
      <w:proofErr w:type="spellEnd"/>
      <w:r>
        <w:rPr>
          <w:rFonts w:ascii="Ebrima" w:hAnsi="Ebrima"/>
          <w:sz w:val="22"/>
          <w:szCs w:val="22"/>
          <w:lang w:val="es-ES"/>
        </w:rPr>
        <w:t xml:space="preserve"> definía el campesinado como </w:t>
      </w:r>
      <w:proofErr w:type="spellStart"/>
      <w:r>
        <w:rPr>
          <w:rFonts w:ascii="Ebrima" w:hAnsi="Ebrima"/>
          <w:sz w:val="22"/>
          <w:szCs w:val="22"/>
          <w:lang w:val="es-ES"/>
        </w:rPr>
        <w:t>presentista</w:t>
      </w:r>
      <w:proofErr w:type="spellEnd"/>
      <w:r>
        <w:rPr>
          <w:rFonts w:ascii="Ebrima" w:hAnsi="Ebrima"/>
          <w:sz w:val="22"/>
          <w:szCs w:val="22"/>
          <w:lang w:val="es-ES"/>
        </w:rPr>
        <w:t xml:space="preserve">, ocupado en dar respuesta </w:t>
      </w:r>
      <w:r w:rsidR="003F47BE">
        <w:rPr>
          <w:rFonts w:ascii="Ebrima" w:hAnsi="Ebrima"/>
          <w:sz w:val="22"/>
          <w:szCs w:val="22"/>
          <w:lang w:val="es-ES"/>
        </w:rPr>
        <w:t xml:space="preserve">a </w:t>
      </w:r>
      <w:r>
        <w:rPr>
          <w:rFonts w:ascii="Ebrima" w:hAnsi="Ebrima"/>
          <w:sz w:val="22"/>
          <w:szCs w:val="22"/>
          <w:lang w:val="es-ES"/>
        </w:rPr>
        <w:t xml:space="preserve">las producciones anuales; el geógrafo </w:t>
      </w:r>
      <w:proofErr w:type="spellStart"/>
      <w:r>
        <w:rPr>
          <w:rFonts w:ascii="Ebrima" w:hAnsi="Ebrima"/>
          <w:sz w:val="22"/>
          <w:szCs w:val="22"/>
          <w:lang w:val="es-ES"/>
        </w:rPr>
        <w:t>Ignasi</w:t>
      </w:r>
      <w:proofErr w:type="spellEnd"/>
      <w:r>
        <w:rPr>
          <w:rFonts w:ascii="Ebrima" w:hAnsi="Ebrima"/>
          <w:sz w:val="22"/>
          <w:szCs w:val="22"/>
          <w:lang w:val="es-ES"/>
        </w:rPr>
        <w:t xml:space="preserve"> </w:t>
      </w:r>
      <w:proofErr w:type="spellStart"/>
      <w:r>
        <w:rPr>
          <w:rFonts w:ascii="Ebrima" w:hAnsi="Ebrima"/>
          <w:sz w:val="22"/>
          <w:szCs w:val="22"/>
          <w:lang w:val="es-ES"/>
        </w:rPr>
        <w:t>Aldomà</w:t>
      </w:r>
      <w:proofErr w:type="spellEnd"/>
      <w:r>
        <w:rPr>
          <w:rFonts w:ascii="Ebrima" w:hAnsi="Ebrima"/>
          <w:sz w:val="22"/>
          <w:szCs w:val="22"/>
          <w:lang w:val="es-ES"/>
        </w:rPr>
        <w:t xml:space="preserve"> los presenta actualmente como futuristas, pendientes de las especulaciones financieras sobre sus recursos productivos.</w:t>
      </w:r>
      <w:r w:rsidR="00381F54">
        <w:rPr>
          <w:rFonts w:ascii="Ebrima" w:hAnsi="Ebrima"/>
          <w:sz w:val="22"/>
          <w:szCs w:val="22"/>
          <w:lang w:val="es-ES"/>
        </w:rPr>
        <w:t xml:space="preserve"> La comunicación pretende analizar los discursos de los diferentes agentes </w:t>
      </w:r>
      <w:r>
        <w:rPr>
          <w:rFonts w:ascii="Ebrima" w:hAnsi="Ebrima"/>
          <w:sz w:val="22"/>
          <w:szCs w:val="22"/>
          <w:lang w:val="es-ES"/>
        </w:rPr>
        <w:t>sociales que han acompañado el debate sobre el parque agrario</w:t>
      </w:r>
      <w:r w:rsidR="00381F54">
        <w:rPr>
          <w:rFonts w:ascii="Ebrima" w:hAnsi="Ebrima"/>
          <w:sz w:val="22"/>
          <w:szCs w:val="22"/>
          <w:lang w:val="es-ES"/>
        </w:rPr>
        <w:t>.</w:t>
      </w:r>
      <w:r>
        <w:rPr>
          <w:rFonts w:ascii="Ebrima" w:hAnsi="Ebrima"/>
          <w:sz w:val="22"/>
          <w:szCs w:val="22"/>
          <w:lang w:val="es-ES"/>
        </w:rPr>
        <w:t xml:space="preserve"> </w:t>
      </w:r>
    </w:p>
    <w:p w:rsidR="0026552E" w:rsidRDefault="0026552E" w:rsidP="009B1DB2">
      <w:pPr>
        <w:pStyle w:val="NormalWeb"/>
        <w:spacing w:after="0"/>
        <w:rPr>
          <w:rFonts w:ascii="Ebrima" w:hAnsi="Ebrima"/>
          <w:sz w:val="22"/>
          <w:szCs w:val="22"/>
          <w:lang w:val="es-ES"/>
        </w:rPr>
      </w:pPr>
    </w:p>
    <w:p w:rsidR="00381F54" w:rsidRDefault="00381F54" w:rsidP="009B1DB2">
      <w:pPr>
        <w:pStyle w:val="NormalWeb"/>
        <w:spacing w:after="0"/>
        <w:rPr>
          <w:rFonts w:ascii="Ebrima" w:hAnsi="Ebrima"/>
          <w:sz w:val="22"/>
          <w:szCs w:val="22"/>
          <w:lang w:val="es-ES"/>
        </w:rPr>
      </w:pPr>
      <w:r>
        <w:rPr>
          <w:rFonts w:ascii="Ebrima" w:hAnsi="Ebrima"/>
          <w:sz w:val="22"/>
          <w:szCs w:val="22"/>
          <w:lang w:val="es-ES"/>
        </w:rPr>
        <w:t>Palabras clave</w:t>
      </w:r>
      <w:r w:rsidR="00E350CE">
        <w:rPr>
          <w:rFonts w:ascii="Ebrima" w:hAnsi="Ebrima"/>
          <w:sz w:val="22"/>
          <w:szCs w:val="22"/>
          <w:lang w:val="es-ES"/>
        </w:rPr>
        <w:t>: parque agrario, agroecología, políticas agrarias, desarrollo rural, movimiento sociales</w:t>
      </w:r>
    </w:p>
    <w:p w:rsidR="00BE169B" w:rsidRDefault="00BE169B"/>
    <w:sectPr w:rsidR="00BE169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C74A7"/>
    <w:multiLevelType w:val="hybridMultilevel"/>
    <w:tmpl w:val="E592D5E4"/>
    <w:lvl w:ilvl="0" w:tplc="1794D04E">
      <w:start w:val="1"/>
      <w:numFmt w:val="bullet"/>
      <w:lvlText w:val=""/>
      <w:lvlJc w:val="left"/>
      <w:pPr>
        <w:tabs>
          <w:tab w:val="num" w:pos="720"/>
        </w:tabs>
        <w:ind w:left="720" w:hanging="360"/>
      </w:pPr>
      <w:rPr>
        <w:rFonts w:ascii="Wingdings" w:hAnsi="Wingdings" w:hint="default"/>
      </w:rPr>
    </w:lvl>
    <w:lvl w:ilvl="1" w:tplc="F3CC7868">
      <w:numFmt w:val="bullet"/>
      <w:lvlText w:val=""/>
      <w:lvlJc w:val="left"/>
      <w:pPr>
        <w:tabs>
          <w:tab w:val="num" w:pos="1440"/>
        </w:tabs>
        <w:ind w:left="1440" w:hanging="360"/>
      </w:pPr>
      <w:rPr>
        <w:rFonts w:ascii="Wingdings" w:hAnsi="Wingdings" w:hint="default"/>
      </w:rPr>
    </w:lvl>
    <w:lvl w:ilvl="2" w:tplc="8E1E8EFA" w:tentative="1">
      <w:start w:val="1"/>
      <w:numFmt w:val="bullet"/>
      <w:lvlText w:val=""/>
      <w:lvlJc w:val="left"/>
      <w:pPr>
        <w:tabs>
          <w:tab w:val="num" w:pos="2160"/>
        </w:tabs>
        <w:ind w:left="2160" w:hanging="360"/>
      </w:pPr>
      <w:rPr>
        <w:rFonts w:ascii="Wingdings" w:hAnsi="Wingdings" w:hint="default"/>
      </w:rPr>
    </w:lvl>
    <w:lvl w:ilvl="3" w:tplc="712E52EC" w:tentative="1">
      <w:start w:val="1"/>
      <w:numFmt w:val="bullet"/>
      <w:lvlText w:val=""/>
      <w:lvlJc w:val="left"/>
      <w:pPr>
        <w:tabs>
          <w:tab w:val="num" w:pos="2880"/>
        </w:tabs>
        <w:ind w:left="2880" w:hanging="360"/>
      </w:pPr>
      <w:rPr>
        <w:rFonts w:ascii="Wingdings" w:hAnsi="Wingdings" w:hint="default"/>
      </w:rPr>
    </w:lvl>
    <w:lvl w:ilvl="4" w:tplc="AC723502" w:tentative="1">
      <w:start w:val="1"/>
      <w:numFmt w:val="bullet"/>
      <w:lvlText w:val=""/>
      <w:lvlJc w:val="left"/>
      <w:pPr>
        <w:tabs>
          <w:tab w:val="num" w:pos="3600"/>
        </w:tabs>
        <w:ind w:left="3600" w:hanging="360"/>
      </w:pPr>
      <w:rPr>
        <w:rFonts w:ascii="Wingdings" w:hAnsi="Wingdings" w:hint="default"/>
      </w:rPr>
    </w:lvl>
    <w:lvl w:ilvl="5" w:tplc="0B8C5A2A" w:tentative="1">
      <w:start w:val="1"/>
      <w:numFmt w:val="bullet"/>
      <w:lvlText w:val=""/>
      <w:lvlJc w:val="left"/>
      <w:pPr>
        <w:tabs>
          <w:tab w:val="num" w:pos="4320"/>
        </w:tabs>
        <w:ind w:left="4320" w:hanging="360"/>
      </w:pPr>
      <w:rPr>
        <w:rFonts w:ascii="Wingdings" w:hAnsi="Wingdings" w:hint="default"/>
      </w:rPr>
    </w:lvl>
    <w:lvl w:ilvl="6" w:tplc="5BBE0B0C" w:tentative="1">
      <w:start w:val="1"/>
      <w:numFmt w:val="bullet"/>
      <w:lvlText w:val=""/>
      <w:lvlJc w:val="left"/>
      <w:pPr>
        <w:tabs>
          <w:tab w:val="num" w:pos="5040"/>
        </w:tabs>
        <w:ind w:left="5040" w:hanging="360"/>
      </w:pPr>
      <w:rPr>
        <w:rFonts w:ascii="Wingdings" w:hAnsi="Wingdings" w:hint="default"/>
      </w:rPr>
    </w:lvl>
    <w:lvl w:ilvl="7" w:tplc="24F40422" w:tentative="1">
      <w:start w:val="1"/>
      <w:numFmt w:val="bullet"/>
      <w:lvlText w:val=""/>
      <w:lvlJc w:val="left"/>
      <w:pPr>
        <w:tabs>
          <w:tab w:val="num" w:pos="5760"/>
        </w:tabs>
        <w:ind w:left="5760" w:hanging="360"/>
      </w:pPr>
      <w:rPr>
        <w:rFonts w:ascii="Wingdings" w:hAnsi="Wingdings" w:hint="default"/>
      </w:rPr>
    </w:lvl>
    <w:lvl w:ilvl="8" w:tplc="E7A8A0CE"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A24"/>
    <w:rsid w:val="000763F0"/>
    <w:rsid w:val="0026552E"/>
    <w:rsid w:val="002C1A48"/>
    <w:rsid w:val="00381F54"/>
    <w:rsid w:val="00393A24"/>
    <w:rsid w:val="003F47BE"/>
    <w:rsid w:val="007E328F"/>
    <w:rsid w:val="00982FA5"/>
    <w:rsid w:val="009B1DB2"/>
    <w:rsid w:val="009E4EA7"/>
    <w:rsid w:val="00A2552B"/>
    <w:rsid w:val="00BE169B"/>
    <w:rsid w:val="00E350CE"/>
    <w:rsid w:val="00F332F5"/>
    <w:rsid w:val="00FA25D0"/>
    <w:rsid w:val="00FB5FB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95D49B-126B-44FB-AF11-590942C88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B1DB2"/>
    <w:pPr>
      <w:spacing w:before="100" w:beforeAutospacing="1" w:after="119" w:line="240" w:lineRule="auto"/>
    </w:pPr>
    <w:rPr>
      <w:rFonts w:ascii="Times New Roman" w:eastAsia="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26459">
      <w:bodyDiv w:val="1"/>
      <w:marLeft w:val="0"/>
      <w:marRight w:val="0"/>
      <w:marTop w:val="0"/>
      <w:marBottom w:val="0"/>
      <w:divBdr>
        <w:top w:val="none" w:sz="0" w:space="0" w:color="auto"/>
        <w:left w:val="none" w:sz="0" w:space="0" w:color="auto"/>
        <w:bottom w:val="none" w:sz="0" w:space="0" w:color="auto"/>
        <w:right w:val="none" w:sz="0" w:space="0" w:color="auto"/>
      </w:divBdr>
    </w:div>
    <w:div w:id="267466376">
      <w:bodyDiv w:val="1"/>
      <w:marLeft w:val="0"/>
      <w:marRight w:val="0"/>
      <w:marTop w:val="0"/>
      <w:marBottom w:val="0"/>
      <w:divBdr>
        <w:top w:val="none" w:sz="0" w:space="0" w:color="auto"/>
        <w:left w:val="none" w:sz="0" w:space="0" w:color="auto"/>
        <w:bottom w:val="none" w:sz="0" w:space="0" w:color="auto"/>
        <w:right w:val="none" w:sz="0" w:space="0" w:color="auto"/>
      </w:divBdr>
      <w:divsChild>
        <w:div w:id="231545197">
          <w:marLeft w:val="360"/>
          <w:marRight w:val="0"/>
          <w:marTop w:val="200"/>
          <w:marBottom w:val="0"/>
          <w:divBdr>
            <w:top w:val="none" w:sz="0" w:space="0" w:color="auto"/>
            <w:left w:val="none" w:sz="0" w:space="0" w:color="auto"/>
            <w:bottom w:val="none" w:sz="0" w:space="0" w:color="auto"/>
            <w:right w:val="none" w:sz="0" w:space="0" w:color="auto"/>
          </w:divBdr>
        </w:div>
        <w:div w:id="1511288685">
          <w:marLeft w:val="360"/>
          <w:marRight w:val="0"/>
          <w:marTop w:val="200"/>
          <w:marBottom w:val="0"/>
          <w:divBdr>
            <w:top w:val="none" w:sz="0" w:space="0" w:color="auto"/>
            <w:left w:val="none" w:sz="0" w:space="0" w:color="auto"/>
            <w:bottom w:val="none" w:sz="0" w:space="0" w:color="auto"/>
            <w:right w:val="none" w:sz="0" w:space="0" w:color="auto"/>
          </w:divBdr>
        </w:div>
        <w:div w:id="206339499">
          <w:marLeft w:val="1080"/>
          <w:marRight w:val="0"/>
          <w:marTop w:val="100"/>
          <w:marBottom w:val="0"/>
          <w:divBdr>
            <w:top w:val="none" w:sz="0" w:space="0" w:color="auto"/>
            <w:left w:val="none" w:sz="0" w:space="0" w:color="auto"/>
            <w:bottom w:val="none" w:sz="0" w:space="0" w:color="auto"/>
            <w:right w:val="none" w:sz="0" w:space="0" w:color="auto"/>
          </w:divBdr>
        </w:div>
        <w:div w:id="359597944">
          <w:marLeft w:val="1080"/>
          <w:marRight w:val="0"/>
          <w:marTop w:val="100"/>
          <w:marBottom w:val="0"/>
          <w:divBdr>
            <w:top w:val="none" w:sz="0" w:space="0" w:color="auto"/>
            <w:left w:val="none" w:sz="0" w:space="0" w:color="auto"/>
            <w:bottom w:val="none" w:sz="0" w:space="0" w:color="auto"/>
            <w:right w:val="none" w:sz="0" w:space="0" w:color="auto"/>
          </w:divBdr>
        </w:div>
        <w:div w:id="1835536145">
          <w:marLeft w:val="360"/>
          <w:marRight w:val="0"/>
          <w:marTop w:val="200"/>
          <w:marBottom w:val="0"/>
          <w:divBdr>
            <w:top w:val="none" w:sz="0" w:space="0" w:color="auto"/>
            <w:left w:val="none" w:sz="0" w:space="0" w:color="auto"/>
            <w:bottom w:val="none" w:sz="0" w:space="0" w:color="auto"/>
            <w:right w:val="none" w:sz="0" w:space="0" w:color="auto"/>
          </w:divBdr>
        </w:div>
      </w:divsChild>
    </w:div>
    <w:div w:id="1314137961">
      <w:bodyDiv w:val="1"/>
      <w:marLeft w:val="0"/>
      <w:marRight w:val="0"/>
      <w:marTop w:val="0"/>
      <w:marBottom w:val="0"/>
      <w:divBdr>
        <w:top w:val="none" w:sz="0" w:space="0" w:color="auto"/>
        <w:left w:val="none" w:sz="0" w:space="0" w:color="auto"/>
        <w:bottom w:val="none" w:sz="0" w:space="0" w:color="auto"/>
        <w:right w:val="none" w:sz="0" w:space="0" w:color="auto"/>
      </w:divBdr>
    </w:div>
    <w:div w:id="208086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372</Words>
  <Characters>2121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dc:creator>
  <cp:keywords/>
  <dc:description/>
  <cp:lastModifiedBy>Gemma</cp:lastModifiedBy>
  <cp:revision>11</cp:revision>
  <dcterms:created xsi:type="dcterms:W3CDTF">2016-10-15T15:30:00Z</dcterms:created>
  <dcterms:modified xsi:type="dcterms:W3CDTF">2016-10-15T20:21:00Z</dcterms:modified>
</cp:coreProperties>
</file>