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AC" w:rsidRPr="00576CAC" w:rsidRDefault="00576CAC" w:rsidP="00576CAC">
      <w:pPr>
        <w:pStyle w:val="Ttulo1"/>
        <w:pBdr>
          <w:bottom w:val="single" w:sz="6" w:space="4" w:color="F2F2F2"/>
        </w:pBdr>
        <w:spacing w:before="0" w:beforeAutospacing="0" w:after="150" w:afterAutospacing="0" w:line="312" w:lineRule="atLeast"/>
        <w:rPr>
          <w:rFonts w:asciiTheme="majorBidi" w:eastAsiaTheme="minorHAnsi" w:hAnsiTheme="majorBidi" w:cstheme="majorBidi"/>
          <w:kern w:val="0"/>
          <w:sz w:val="24"/>
          <w:szCs w:val="24"/>
          <w:lang w:eastAsia="en-US"/>
        </w:rPr>
      </w:pPr>
      <w:proofErr w:type="spellStart"/>
      <w:r>
        <w:rPr>
          <w:rFonts w:asciiTheme="majorBidi" w:hAnsiTheme="majorBidi" w:cstheme="majorBidi"/>
          <w:b w:val="0"/>
          <w:bCs w:val="0"/>
          <w:sz w:val="24"/>
          <w:szCs w:val="24"/>
        </w:rPr>
        <w:t>Simposium</w:t>
      </w:r>
      <w:proofErr w:type="spellEnd"/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r w:rsidRPr="00576CAC">
        <w:rPr>
          <w:rFonts w:asciiTheme="majorBidi" w:eastAsiaTheme="minorHAnsi" w:hAnsiTheme="majorBidi" w:cstheme="majorBidi"/>
          <w:kern w:val="0"/>
          <w:sz w:val="24"/>
          <w:szCs w:val="24"/>
          <w:lang w:eastAsia="en-US"/>
        </w:rPr>
        <w:t>DESCOLONIZANDO LA ANTROPOLOGÍA: HACIA OTROS HORIZONTES COMPREHENSIVOS DE LA PLURIVERSIDAD</w:t>
      </w:r>
    </w:p>
    <w:p w:rsidR="00576CAC" w:rsidRDefault="00576CAC" w:rsidP="00576CAC">
      <w:pPr>
        <w:pStyle w:val="Prrafodelista"/>
        <w:rPr>
          <w:rFonts w:asciiTheme="majorBidi" w:hAnsiTheme="majorBidi" w:cstheme="majorBidi"/>
          <w:b/>
          <w:bCs/>
          <w:sz w:val="24"/>
          <w:szCs w:val="24"/>
        </w:rPr>
      </w:pPr>
    </w:p>
    <w:p w:rsidR="00F861BC" w:rsidRPr="00A65C81" w:rsidRDefault="00E86554" w:rsidP="00A65C8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83FB3">
        <w:rPr>
          <w:rFonts w:asciiTheme="majorBidi" w:hAnsiTheme="majorBidi" w:cstheme="majorBidi"/>
          <w:sz w:val="24"/>
          <w:szCs w:val="24"/>
        </w:rPr>
        <w:t xml:space="preserve">Título: </w:t>
      </w:r>
      <w:r w:rsidR="00EE370F" w:rsidRPr="00A65C81">
        <w:rPr>
          <w:rFonts w:asciiTheme="majorBidi" w:hAnsiTheme="majorBidi" w:cstheme="majorBidi"/>
          <w:b/>
          <w:bCs/>
          <w:sz w:val="24"/>
          <w:szCs w:val="24"/>
        </w:rPr>
        <w:t xml:space="preserve">Una apuesta desde la descolonización del feminismo y los procesos de resistencia contra la </w:t>
      </w:r>
      <w:r w:rsidR="001F6145" w:rsidRPr="00A65C81">
        <w:rPr>
          <w:rFonts w:asciiTheme="majorBidi" w:hAnsiTheme="majorBidi" w:cstheme="majorBidi"/>
          <w:b/>
          <w:bCs/>
          <w:sz w:val="24"/>
          <w:szCs w:val="24"/>
        </w:rPr>
        <w:t>Violencia de Géne</w:t>
      </w:r>
      <w:r w:rsidR="00EE370F" w:rsidRPr="00A65C81">
        <w:rPr>
          <w:rFonts w:asciiTheme="majorBidi" w:hAnsiTheme="majorBidi" w:cstheme="majorBidi"/>
          <w:b/>
          <w:bCs/>
          <w:sz w:val="24"/>
          <w:szCs w:val="24"/>
        </w:rPr>
        <w:t>ro. M</w:t>
      </w:r>
      <w:r w:rsidR="001F6145" w:rsidRPr="00A65C81">
        <w:rPr>
          <w:rFonts w:asciiTheme="majorBidi" w:hAnsiTheme="majorBidi" w:cstheme="majorBidi"/>
          <w:b/>
          <w:bCs/>
          <w:sz w:val="24"/>
          <w:szCs w:val="24"/>
        </w:rPr>
        <w:t xml:space="preserve">ujeres </w:t>
      </w:r>
      <w:proofErr w:type="spellStart"/>
      <w:r w:rsidR="001F6145" w:rsidRPr="00A65C81">
        <w:rPr>
          <w:rFonts w:asciiTheme="majorBidi" w:hAnsiTheme="majorBidi" w:cstheme="majorBidi"/>
          <w:b/>
          <w:bCs/>
          <w:sz w:val="24"/>
          <w:szCs w:val="24"/>
        </w:rPr>
        <w:t>afrodescencientes</w:t>
      </w:r>
      <w:proofErr w:type="spellEnd"/>
      <w:r w:rsidR="001F6145" w:rsidRPr="00A65C81">
        <w:rPr>
          <w:rFonts w:asciiTheme="majorBidi" w:hAnsiTheme="majorBidi" w:cstheme="majorBidi"/>
          <w:b/>
          <w:bCs/>
          <w:sz w:val="24"/>
          <w:szCs w:val="24"/>
        </w:rPr>
        <w:t xml:space="preserve"> en México y mujeres africanas inmigrantes en España.   </w:t>
      </w:r>
    </w:p>
    <w:p w:rsidR="00A65C81" w:rsidRDefault="002428CE" w:rsidP="001F6145">
      <w:pPr>
        <w:jc w:val="both"/>
        <w:rPr>
          <w:rFonts w:asciiTheme="majorBidi" w:hAnsiTheme="majorBidi" w:cstheme="majorBidi"/>
          <w:sz w:val="24"/>
          <w:szCs w:val="24"/>
        </w:rPr>
      </w:pPr>
      <w:r w:rsidRPr="00583FB3">
        <w:rPr>
          <w:rFonts w:asciiTheme="majorBidi" w:hAnsiTheme="majorBidi" w:cstheme="majorBidi"/>
          <w:sz w:val="24"/>
          <w:szCs w:val="24"/>
        </w:rPr>
        <w:t xml:space="preserve">Autora: </w:t>
      </w:r>
    </w:p>
    <w:p w:rsidR="00A65C81" w:rsidRDefault="002428CE" w:rsidP="001F6145">
      <w:pPr>
        <w:jc w:val="both"/>
        <w:rPr>
          <w:rFonts w:asciiTheme="majorBidi" w:hAnsiTheme="majorBidi" w:cstheme="majorBidi"/>
          <w:sz w:val="24"/>
          <w:szCs w:val="24"/>
        </w:rPr>
      </w:pPr>
      <w:r w:rsidRPr="00583FB3">
        <w:rPr>
          <w:rFonts w:asciiTheme="majorBidi" w:hAnsiTheme="majorBidi" w:cstheme="majorBidi"/>
          <w:sz w:val="24"/>
          <w:szCs w:val="24"/>
        </w:rPr>
        <w:t>Práxedes Muñoz Sánchez</w:t>
      </w:r>
      <w:r w:rsidR="00A65C81">
        <w:rPr>
          <w:rFonts w:asciiTheme="majorBidi" w:hAnsiTheme="majorBidi" w:cstheme="majorBidi"/>
          <w:sz w:val="24"/>
          <w:szCs w:val="24"/>
        </w:rPr>
        <w:t>, Universidad Católica de Murcia, Educación.</w:t>
      </w:r>
    </w:p>
    <w:p w:rsidR="002428CE" w:rsidRPr="00583FB3" w:rsidRDefault="001F6145" w:rsidP="001F614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Gloria Lara</w:t>
      </w:r>
      <w:r w:rsidR="00A65C81">
        <w:rPr>
          <w:rFonts w:asciiTheme="majorBidi" w:hAnsiTheme="majorBidi" w:cstheme="majorBidi"/>
          <w:sz w:val="24"/>
          <w:szCs w:val="24"/>
        </w:rPr>
        <w:t xml:space="preserve"> Millán, Universidad Autónoma de Michoacán, México, Historia.</w:t>
      </w:r>
    </w:p>
    <w:p w:rsidR="00A65C81" w:rsidRDefault="002428CE" w:rsidP="00380F4E">
      <w:pPr>
        <w:jc w:val="both"/>
        <w:rPr>
          <w:rFonts w:asciiTheme="majorBidi" w:hAnsiTheme="majorBidi" w:cstheme="majorBidi"/>
          <w:sz w:val="24"/>
          <w:szCs w:val="24"/>
        </w:rPr>
      </w:pPr>
      <w:r w:rsidRPr="00583FB3">
        <w:rPr>
          <w:rFonts w:asciiTheme="majorBidi" w:hAnsiTheme="majorBidi" w:cstheme="majorBidi"/>
          <w:sz w:val="24"/>
          <w:szCs w:val="24"/>
        </w:rPr>
        <w:t>A partir de</w:t>
      </w:r>
      <w:r w:rsidR="00C04E4B">
        <w:rPr>
          <w:rFonts w:asciiTheme="majorBidi" w:hAnsiTheme="majorBidi" w:cstheme="majorBidi"/>
          <w:sz w:val="24"/>
          <w:szCs w:val="24"/>
        </w:rPr>
        <w:t xml:space="preserve"> etnografías realizadas en</w:t>
      </w:r>
      <w:r w:rsidRPr="00583FB3">
        <w:rPr>
          <w:rFonts w:asciiTheme="majorBidi" w:hAnsiTheme="majorBidi" w:cstheme="majorBidi"/>
          <w:sz w:val="24"/>
          <w:szCs w:val="24"/>
        </w:rPr>
        <w:t xml:space="preserve"> </w:t>
      </w:r>
      <w:r w:rsidR="00EF6592">
        <w:rPr>
          <w:rFonts w:asciiTheme="majorBidi" w:hAnsiTheme="majorBidi" w:cstheme="majorBidi"/>
          <w:sz w:val="24"/>
          <w:szCs w:val="24"/>
        </w:rPr>
        <w:t xml:space="preserve">espacios de relaciones de saberes </w:t>
      </w:r>
      <w:r w:rsidRPr="00583FB3">
        <w:rPr>
          <w:rFonts w:asciiTheme="majorBidi" w:hAnsiTheme="majorBidi" w:cstheme="majorBidi"/>
          <w:sz w:val="24"/>
          <w:szCs w:val="24"/>
        </w:rPr>
        <w:t>en diversos</w:t>
      </w:r>
      <w:r w:rsidR="00EE370F">
        <w:rPr>
          <w:rFonts w:asciiTheme="majorBidi" w:hAnsiTheme="majorBidi" w:cstheme="majorBidi"/>
          <w:sz w:val="24"/>
          <w:szCs w:val="24"/>
        </w:rPr>
        <w:t xml:space="preserve"> escenarios, </w:t>
      </w:r>
      <w:r w:rsidR="00A65C81">
        <w:rPr>
          <w:rFonts w:asciiTheme="majorBidi" w:hAnsiTheme="majorBidi" w:cstheme="majorBidi"/>
          <w:sz w:val="24"/>
          <w:szCs w:val="24"/>
        </w:rPr>
        <w:t>M</w:t>
      </w:r>
      <w:r w:rsidR="00EE370F">
        <w:rPr>
          <w:rFonts w:asciiTheme="majorBidi" w:hAnsiTheme="majorBidi" w:cstheme="majorBidi"/>
          <w:sz w:val="24"/>
          <w:szCs w:val="24"/>
        </w:rPr>
        <w:t xml:space="preserve">éxico y España, presentamos una discusión epistemológica sobre la violencia de género desde las percepciones de mujeres de color. </w:t>
      </w:r>
      <w:r w:rsidR="00A65C81">
        <w:rPr>
          <w:rFonts w:asciiTheme="majorBidi" w:hAnsiTheme="majorBidi" w:cstheme="majorBidi"/>
          <w:sz w:val="24"/>
          <w:szCs w:val="24"/>
        </w:rPr>
        <w:t>Esta surge a partir de crear espacios de diálogo sobre las necesidades imperantes para sus desarrollos personales</w:t>
      </w:r>
      <w:r w:rsidR="00D949CF">
        <w:rPr>
          <w:rFonts w:asciiTheme="majorBidi" w:hAnsiTheme="majorBidi" w:cstheme="majorBidi"/>
          <w:sz w:val="24"/>
          <w:szCs w:val="24"/>
        </w:rPr>
        <w:t xml:space="preserve"> y del colectivo o comunidad transnacional</w:t>
      </w:r>
      <w:r w:rsidR="00380F4E">
        <w:rPr>
          <w:rFonts w:asciiTheme="majorBidi" w:hAnsiTheme="majorBidi" w:cstheme="majorBidi"/>
          <w:sz w:val="24"/>
          <w:szCs w:val="24"/>
        </w:rPr>
        <w:t xml:space="preserve">, cuyas </w:t>
      </w:r>
      <w:r w:rsidR="00A65C81">
        <w:rPr>
          <w:rFonts w:asciiTheme="majorBidi" w:hAnsiTheme="majorBidi" w:cstheme="majorBidi"/>
          <w:sz w:val="24"/>
          <w:szCs w:val="24"/>
        </w:rPr>
        <w:t xml:space="preserve">temáticas surgidas en estos espacios </w:t>
      </w:r>
      <w:r w:rsidR="00D949CF">
        <w:rPr>
          <w:rFonts w:asciiTheme="majorBidi" w:hAnsiTheme="majorBidi" w:cstheme="majorBidi"/>
          <w:sz w:val="24"/>
          <w:szCs w:val="24"/>
        </w:rPr>
        <w:t>son</w:t>
      </w:r>
      <w:r w:rsidR="00A65C81">
        <w:rPr>
          <w:rFonts w:asciiTheme="majorBidi" w:hAnsiTheme="majorBidi" w:cstheme="majorBidi"/>
          <w:sz w:val="24"/>
          <w:szCs w:val="24"/>
        </w:rPr>
        <w:t xml:space="preserve"> conducida</w:t>
      </w:r>
      <w:r w:rsidR="00D949CF">
        <w:rPr>
          <w:rFonts w:asciiTheme="majorBidi" w:hAnsiTheme="majorBidi" w:cstheme="majorBidi"/>
          <w:sz w:val="24"/>
          <w:szCs w:val="24"/>
        </w:rPr>
        <w:t>s,</w:t>
      </w:r>
      <w:r w:rsidR="00A65C81">
        <w:rPr>
          <w:rFonts w:asciiTheme="majorBidi" w:hAnsiTheme="majorBidi" w:cstheme="majorBidi"/>
          <w:sz w:val="24"/>
          <w:szCs w:val="24"/>
        </w:rPr>
        <w:t xml:space="preserve"> </w:t>
      </w:r>
      <w:r w:rsidR="00D949CF">
        <w:rPr>
          <w:rFonts w:asciiTheme="majorBidi" w:hAnsiTheme="majorBidi" w:cstheme="majorBidi"/>
          <w:sz w:val="24"/>
          <w:szCs w:val="24"/>
        </w:rPr>
        <w:t>en la mayoría de los casos,</w:t>
      </w:r>
      <w:r w:rsidR="00A65C81">
        <w:rPr>
          <w:rFonts w:asciiTheme="majorBidi" w:hAnsiTheme="majorBidi" w:cstheme="majorBidi"/>
          <w:sz w:val="24"/>
          <w:szCs w:val="24"/>
        </w:rPr>
        <w:t xml:space="preserve"> hacia la violencia contra la mujer, de tipo institucional, social-comunitaria y de pareja. </w:t>
      </w:r>
    </w:p>
    <w:p w:rsidR="00380F4E" w:rsidRDefault="00A65C81" w:rsidP="00380F4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Por ello, presentamos la apuesta decolonial y en construcción de qué es la violencia de género, qué se identifica con prácticas de resistencia y qu</w:t>
      </w:r>
      <w:r w:rsidR="00D949CF">
        <w:rPr>
          <w:rFonts w:asciiTheme="majorBidi" w:hAnsiTheme="majorBidi" w:cstheme="majorBidi"/>
          <w:sz w:val="24"/>
          <w:szCs w:val="24"/>
        </w:rPr>
        <w:t>é es posible</w:t>
      </w:r>
      <w:r>
        <w:rPr>
          <w:rFonts w:asciiTheme="majorBidi" w:hAnsiTheme="majorBidi" w:cstheme="majorBidi"/>
          <w:sz w:val="24"/>
          <w:szCs w:val="24"/>
        </w:rPr>
        <w:t xml:space="preserve"> descolonizar, a partir de la identificación de nuevas</w:t>
      </w:r>
      <w:r w:rsidR="00D949CF">
        <w:rPr>
          <w:rFonts w:asciiTheme="majorBidi" w:hAnsiTheme="majorBidi" w:cstheme="majorBidi"/>
          <w:sz w:val="24"/>
          <w:szCs w:val="24"/>
        </w:rPr>
        <w:t xml:space="preserve"> violencias, algunas surgidas de un postcolonialismo basado en creencias religiosas y políticas o imperantes de sistemas de poder. </w:t>
      </w:r>
    </w:p>
    <w:p w:rsidR="00510A61" w:rsidRDefault="00D949CF" w:rsidP="00380F4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</w:t>
      </w:r>
      <w:r w:rsidR="00380F4E">
        <w:rPr>
          <w:rFonts w:asciiTheme="majorBidi" w:hAnsiTheme="majorBidi" w:cstheme="majorBidi"/>
          <w:sz w:val="24"/>
          <w:szCs w:val="24"/>
        </w:rPr>
        <w:t>la vez s</w:t>
      </w:r>
      <w:r>
        <w:rPr>
          <w:rFonts w:asciiTheme="majorBidi" w:hAnsiTheme="majorBidi" w:cstheme="majorBidi"/>
          <w:sz w:val="24"/>
          <w:szCs w:val="24"/>
        </w:rPr>
        <w:t>e visibiliza</w:t>
      </w:r>
      <w:r w:rsidR="00380F4E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 y analiza</w:t>
      </w:r>
      <w:r w:rsidR="00380F4E">
        <w:rPr>
          <w:rFonts w:asciiTheme="majorBidi" w:hAnsiTheme="majorBidi" w:cstheme="majorBidi"/>
          <w:sz w:val="24"/>
          <w:szCs w:val="24"/>
        </w:rPr>
        <w:t>n,</w:t>
      </w:r>
      <w:r>
        <w:rPr>
          <w:rFonts w:asciiTheme="majorBidi" w:hAnsiTheme="majorBidi" w:cstheme="majorBidi"/>
          <w:sz w:val="24"/>
          <w:szCs w:val="24"/>
        </w:rPr>
        <w:t xml:space="preserve"> desde una etnografía colaborativa</w:t>
      </w:r>
      <w:r w:rsidR="00380F4E">
        <w:rPr>
          <w:rFonts w:asciiTheme="majorBidi" w:hAnsiTheme="majorBidi" w:cstheme="majorBidi"/>
          <w:sz w:val="24"/>
          <w:szCs w:val="24"/>
        </w:rPr>
        <w:t>,</w:t>
      </w:r>
      <w:r w:rsidR="00363CFB" w:rsidRPr="00583FB3">
        <w:rPr>
          <w:rFonts w:asciiTheme="majorBidi" w:hAnsiTheme="majorBidi" w:cstheme="majorBidi"/>
          <w:sz w:val="24"/>
          <w:szCs w:val="24"/>
        </w:rPr>
        <w:t xml:space="preserve"> las colonialidades que se mantienen en </w:t>
      </w:r>
      <w:r w:rsidR="006D2786">
        <w:rPr>
          <w:rFonts w:asciiTheme="majorBidi" w:hAnsiTheme="majorBidi" w:cstheme="majorBidi"/>
          <w:sz w:val="24"/>
          <w:szCs w:val="24"/>
        </w:rPr>
        <w:t xml:space="preserve">las prácticas políticas y cotidianas de la mujer negra en su división, discutida como necesaria, entre género, raza, clase y sexualidad, para identificar los rasgos del dominio del </w:t>
      </w:r>
      <w:r w:rsidR="00380F4E">
        <w:rPr>
          <w:rFonts w:asciiTheme="majorBidi" w:hAnsiTheme="majorBidi" w:cstheme="majorBidi"/>
          <w:sz w:val="24"/>
          <w:szCs w:val="24"/>
        </w:rPr>
        <w:t>racismo, del patriarcado,</w:t>
      </w:r>
      <w:r w:rsidR="00510A61">
        <w:rPr>
          <w:rFonts w:asciiTheme="majorBidi" w:hAnsiTheme="majorBidi" w:cstheme="majorBidi"/>
          <w:sz w:val="24"/>
          <w:szCs w:val="24"/>
        </w:rPr>
        <w:t xml:space="preserve"> </w:t>
      </w:r>
      <w:r w:rsidR="00380F4E">
        <w:rPr>
          <w:rFonts w:asciiTheme="majorBidi" w:hAnsiTheme="majorBidi" w:cstheme="majorBidi"/>
          <w:sz w:val="24"/>
          <w:szCs w:val="24"/>
        </w:rPr>
        <w:t>a</w:t>
      </w:r>
      <w:r w:rsidR="00510A61">
        <w:rPr>
          <w:rFonts w:asciiTheme="majorBidi" w:hAnsiTheme="majorBidi" w:cstheme="majorBidi"/>
          <w:sz w:val="24"/>
          <w:szCs w:val="24"/>
        </w:rPr>
        <w:t xml:space="preserve">sí como en la abertura que </w:t>
      </w:r>
      <w:proofErr w:type="spellStart"/>
      <w:r w:rsidR="00510A61">
        <w:rPr>
          <w:rFonts w:asciiTheme="majorBidi" w:hAnsiTheme="majorBidi" w:cstheme="majorBidi"/>
          <w:sz w:val="24"/>
          <w:szCs w:val="24"/>
        </w:rPr>
        <w:t>descategorice</w:t>
      </w:r>
      <w:proofErr w:type="spellEnd"/>
      <w:r w:rsidR="00510A61">
        <w:rPr>
          <w:rFonts w:asciiTheme="majorBidi" w:hAnsiTheme="majorBidi" w:cstheme="majorBidi"/>
          <w:sz w:val="24"/>
          <w:szCs w:val="24"/>
        </w:rPr>
        <w:t xml:space="preserve"> </w:t>
      </w:r>
      <w:r w:rsidR="00380F4E">
        <w:rPr>
          <w:rFonts w:asciiTheme="majorBidi" w:hAnsiTheme="majorBidi" w:cstheme="majorBidi"/>
          <w:sz w:val="24"/>
          <w:szCs w:val="24"/>
        </w:rPr>
        <w:t xml:space="preserve">y </w:t>
      </w:r>
      <w:proofErr w:type="spellStart"/>
      <w:r w:rsidR="00380F4E">
        <w:rPr>
          <w:rFonts w:asciiTheme="majorBidi" w:hAnsiTheme="majorBidi" w:cstheme="majorBidi"/>
          <w:sz w:val="24"/>
          <w:szCs w:val="24"/>
        </w:rPr>
        <w:t>descolonialice</w:t>
      </w:r>
      <w:proofErr w:type="spellEnd"/>
      <w:r w:rsidR="00380F4E">
        <w:rPr>
          <w:rFonts w:asciiTheme="majorBidi" w:hAnsiTheme="majorBidi" w:cstheme="majorBidi"/>
          <w:sz w:val="24"/>
          <w:szCs w:val="24"/>
        </w:rPr>
        <w:t xml:space="preserve"> </w:t>
      </w:r>
      <w:r w:rsidR="00510A61">
        <w:rPr>
          <w:rFonts w:asciiTheme="majorBidi" w:hAnsiTheme="majorBidi" w:cstheme="majorBidi"/>
          <w:sz w:val="24"/>
          <w:szCs w:val="24"/>
        </w:rPr>
        <w:t xml:space="preserve">para incluir </w:t>
      </w:r>
      <w:r>
        <w:rPr>
          <w:rFonts w:asciiTheme="majorBidi" w:hAnsiTheme="majorBidi" w:cstheme="majorBidi"/>
          <w:sz w:val="24"/>
          <w:szCs w:val="24"/>
        </w:rPr>
        <w:t>di</w:t>
      </w:r>
      <w:r w:rsidR="00510A61">
        <w:rPr>
          <w:rFonts w:asciiTheme="majorBidi" w:hAnsiTheme="majorBidi" w:cstheme="majorBidi"/>
          <w:sz w:val="24"/>
          <w:szCs w:val="24"/>
        </w:rPr>
        <w:t>versidades, e incorporar políticas</w:t>
      </w:r>
      <w:r w:rsidR="00380F4E">
        <w:rPr>
          <w:rFonts w:asciiTheme="majorBidi" w:hAnsiTheme="majorBidi" w:cstheme="majorBidi"/>
          <w:sz w:val="24"/>
          <w:szCs w:val="24"/>
        </w:rPr>
        <w:t xml:space="preserve"> desde el cambio y la praxis (comunitarias y cotidianas)</w:t>
      </w:r>
      <w:r w:rsidR="00510A61">
        <w:rPr>
          <w:rFonts w:asciiTheme="majorBidi" w:hAnsiTheme="majorBidi" w:cstheme="majorBidi"/>
          <w:sz w:val="24"/>
          <w:szCs w:val="24"/>
        </w:rPr>
        <w:t xml:space="preserve"> contra la violencia de género de forma integral a la </w:t>
      </w:r>
      <w:r>
        <w:rPr>
          <w:rFonts w:asciiTheme="majorBidi" w:hAnsiTheme="majorBidi" w:cstheme="majorBidi"/>
          <w:sz w:val="24"/>
          <w:szCs w:val="24"/>
        </w:rPr>
        <w:t>convergencia del historicismo de mujeres negras</w:t>
      </w:r>
      <w:r w:rsidR="00380F4E">
        <w:rPr>
          <w:rFonts w:asciiTheme="majorBidi" w:hAnsiTheme="majorBidi" w:cstheme="majorBidi"/>
          <w:sz w:val="24"/>
          <w:szCs w:val="24"/>
        </w:rPr>
        <w:t xml:space="preserve"> dentro de un sistema-mundo que construya puentes con un sentido glo-local y geopolítico en un feminismo negro integrador.</w:t>
      </w:r>
      <w:r w:rsidR="00510A61">
        <w:rPr>
          <w:rFonts w:asciiTheme="majorBidi" w:hAnsiTheme="majorBidi" w:cstheme="majorBidi"/>
          <w:sz w:val="24"/>
          <w:szCs w:val="24"/>
        </w:rPr>
        <w:t xml:space="preserve"> </w:t>
      </w:r>
    </w:p>
    <w:p w:rsidR="00235917" w:rsidRDefault="00235917" w:rsidP="006D278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B64FB" w:rsidRPr="00583FB3" w:rsidRDefault="00CB64FB" w:rsidP="00583FB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sectPr w:rsidR="00CB64FB" w:rsidRPr="00583FB3" w:rsidSect="00F839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7333"/>
    <w:multiLevelType w:val="hybridMultilevel"/>
    <w:tmpl w:val="1E341D50"/>
    <w:lvl w:ilvl="0" w:tplc="7924E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EB7F8E"/>
    <w:multiLevelType w:val="hybridMultilevel"/>
    <w:tmpl w:val="3CD87864"/>
    <w:lvl w:ilvl="0" w:tplc="CAE421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8CE"/>
    <w:rsid w:val="000620FC"/>
    <w:rsid w:val="000C4BAB"/>
    <w:rsid w:val="001F6145"/>
    <w:rsid w:val="00235917"/>
    <w:rsid w:val="002428CE"/>
    <w:rsid w:val="002630EA"/>
    <w:rsid w:val="00363CFB"/>
    <w:rsid w:val="00380F4E"/>
    <w:rsid w:val="00422D37"/>
    <w:rsid w:val="00510A61"/>
    <w:rsid w:val="00576CAC"/>
    <w:rsid w:val="00583FB3"/>
    <w:rsid w:val="00591004"/>
    <w:rsid w:val="006D2786"/>
    <w:rsid w:val="007107D3"/>
    <w:rsid w:val="00777000"/>
    <w:rsid w:val="00787F16"/>
    <w:rsid w:val="009A79C9"/>
    <w:rsid w:val="00A65C81"/>
    <w:rsid w:val="00B50DD0"/>
    <w:rsid w:val="00C04E4B"/>
    <w:rsid w:val="00C225CC"/>
    <w:rsid w:val="00CB64FB"/>
    <w:rsid w:val="00CE056A"/>
    <w:rsid w:val="00D949CF"/>
    <w:rsid w:val="00DF4767"/>
    <w:rsid w:val="00E86554"/>
    <w:rsid w:val="00E87B52"/>
    <w:rsid w:val="00EE370F"/>
    <w:rsid w:val="00EF6592"/>
    <w:rsid w:val="00F839FE"/>
    <w:rsid w:val="00F8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FE"/>
  </w:style>
  <w:style w:type="paragraph" w:styleId="Ttulo1">
    <w:name w:val="heading 1"/>
    <w:basedOn w:val="Normal"/>
    <w:link w:val="Ttulo1Car"/>
    <w:uiPriority w:val="9"/>
    <w:qFormat/>
    <w:rsid w:val="00576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64F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B64F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576CA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Práxedes Muñoz Sánchez</dc:creator>
  <cp:lastModifiedBy>Práxedes Muñoz Sánchez</cp:lastModifiedBy>
  <cp:revision>6</cp:revision>
  <dcterms:created xsi:type="dcterms:W3CDTF">2016-10-15T15:46:00Z</dcterms:created>
  <dcterms:modified xsi:type="dcterms:W3CDTF">2016-10-15T16:55:00Z</dcterms:modified>
</cp:coreProperties>
</file>