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88FEC" w14:textId="265FE12A" w:rsidR="00C12C7A" w:rsidRDefault="00D6471F" w:rsidP="000B55A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" w:hAnsi="Times" w:cs="Times"/>
          <w:b/>
          <w:color w:val="262626"/>
          <w:sz w:val="28"/>
          <w:szCs w:val="28"/>
        </w:rPr>
      </w:pPr>
      <w:r>
        <w:rPr>
          <w:rFonts w:ascii="Times" w:hAnsi="Times" w:cs="Times"/>
          <w:b/>
          <w:color w:val="262626"/>
          <w:sz w:val="28"/>
          <w:szCs w:val="28"/>
        </w:rPr>
        <w:t xml:space="preserve">DE </w:t>
      </w:r>
      <w:r w:rsidR="003D32FC">
        <w:rPr>
          <w:rFonts w:ascii="Times" w:hAnsi="Times" w:cs="Times"/>
          <w:b/>
          <w:color w:val="262626"/>
          <w:sz w:val="28"/>
          <w:szCs w:val="28"/>
        </w:rPr>
        <w:t>VITRINAS DEL COLONIALISMO</w:t>
      </w:r>
      <w:r>
        <w:rPr>
          <w:rFonts w:ascii="Times" w:hAnsi="Times" w:cs="Times"/>
          <w:b/>
          <w:color w:val="262626"/>
          <w:sz w:val="28"/>
          <w:szCs w:val="28"/>
        </w:rPr>
        <w:t xml:space="preserve"> A MUSEOS COMUNITARIOS</w:t>
      </w:r>
      <w:r w:rsidR="003D32FC">
        <w:rPr>
          <w:rFonts w:ascii="Times" w:hAnsi="Times" w:cs="Times"/>
          <w:b/>
          <w:color w:val="262626"/>
          <w:sz w:val="28"/>
          <w:szCs w:val="28"/>
        </w:rPr>
        <w:t xml:space="preserve">. </w:t>
      </w:r>
      <w:r>
        <w:rPr>
          <w:rFonts w:ascii="Times" w:hAnsi="Times" w:cs="Times"/>
          <w:b/>
          <w:color w:val="262626"/>
          <w:sz w:val="28"/>
          <w:szCs w:val="28"/>
        </w:rPr>
        <w:t>La representación de las sociedades indígenas en los museos latinoamericanos desde la participación autóctona.</w:t>
      </w:r>
    </w:p>
    <w:p w14:paraId="433CD6CB" w14:textId="77777777" w:rsidR="00D6471F" w:rsidRDefault="00D6471F" w:rsidP="000B55A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" w:hAnsi="Times" w:cs="Times"/>
          <w:b/>
          <w:color w:val="262626"/>
          <w:sz w:val="28"/>
          <w:szCs w:val="28"/>
        </w:rPr>
      </w:pPr>
    </w:p>
    <w:p w14:paraId="50365189" w14:textId="172F4821" w:rsidR="00C12C7A" w:rsidRPr="00A842CC" w:rsidRDefault="00C12C7A" w:rsidP="000B55A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" w:hAnsi="Times" w:cs="Times"/>
          <w:color w:val="262626"/>
          <w:sz w:val="28"/>
          <w:szCs w:val="28"/>
        </w:rPr>
      </w:pPr>
      <w:r w:rsidRPr="00A842CC">
        <w:rPr>
          <w:rFonts w:ascii="Times" w:hAnsi="Times" w:cs="Times"/>
          <w:color w:val="262626"/>
          <w:sz w:val="28"/>
          <w:szCs w:val="28"/>
        </w:rPr>
        <w:t xml:space="preserve">Xavier </w:t>
      </w:r>
      <w:proofErr w:type="spellStart"/>
      <w:r w:rsidRPr="00A842CC">
        <w:rPr>
          <w:rFonts w:ascii="Times" w:hAnsi="Times" w:cs="Times"/>
          <w:color w:val="262626"/>
          <w:sz w:val="28"/>
          <w:szCs w:val="28"/>
        </w:rPr>
        <w:t>Roigé</w:t>
      </w:r>
      <w:proofErr w:type="spellEnd"/>
      <w:r w:rsidRPr="00A842CC">
        <w:rPr>
          <w:rFonts w:ascii="Times" w:hAnsi="Times" w:cs="Times"/>
          <w:color w:val="262626"/>
          <w:sz w:val="28"/>
          <w:szCs w:val="28"/>
        </w:rPr>
        <w:t xml:space="preserve"> (ICA, UB), </w:t>
      </w:r>
      <w:proofErr w:type="spellStart"/>
      <w:r w:rsidR="00A842CC" w:rsidRPr="00A842CC">
        <w:rPr>
          <w:rFonts w:ascii="Times" w:hAnsi="Times" w:cs="Times"/>
          <w:color w:val="262626"/>
          <w:sz w:val="28"/>
          <w:szCs w:val="28"/>
        </w:rPr>
        <w:t>Fabien</w:t>
      </w:r>
      <w:proofErr w:type="spellEnd"/>
      <w:r w:rsidR="00A842CC" w:rsidRPr="00A842CC">
        <w:rPr>
          <w:rFonts w:ascii="Times" w:hAnsi="Times" w:cs="Times"/>
          <w:color w:val="262626"/>
          <w:sz w:val="28"/>
          <w:szCs w:val="28"/>
        </w:rPr>
        <w:t xml:space="preserve"> Van </w:t>
      </w:r>
      <w:proofErr w:type="spellStart"/>
      <w:r w:rsidR="00A842CC" w:rsidRPr="00A842CC">
        <w:rPr>
          <w:rFonts w:ascii="Times" w:hAnsi="Times" w:cs="Times"/>
          <w:color w:val="262626"/>
          <w:sz w:val="28"/>
          <w:szCs w:val="28"/>
        </w:rPr>
        <w:t>Geert</w:t>
      </w:r>
      <w:proofErr w:type="spellEnd"/>
      <w:r w:rsidR="00A842CC" w:rsidRPr="00A842CC">
        <w:rPr>
          <w:rFonts w:ascii="Times" w:hAnsi="Times" w:cs="Times"/>
          <w:color w:val="262626"/>
          <w:sz w:val="28"/>
          <w:szCs w:val="28"/>
        </w:rPr>
        <w:t xml:space="preserve"> (La </w:t>
      </w:r>
      <w:proofErr w:type="spellStart"/>
      <w:r w:rsidR="00A842CC" w:rsidRPr="00A842CC">
        <w:rPr>
          <w:rFonts w:ascii="Times" w:hAnsi="Times" w:cs="Times"/>
          <w:color w:val="262626"/>
          <w:sz w:val="28"/>
          <w:szCs w:val="28"/>
        </w:rPr>
        <w:t>Sorbonne</w:t>
      </w:r>
      <w:proofErr w:type="spellEnd"/>
      <w:r w:rsidR="00A842CC" w:rsidRPr="00A842CC">
        <w:rPr>
          <w:rFonts w:ascii="Times" w:hAnsi="Times" w:cs="Times"/>
          <w:color w:val="262626"/>
          <w:sz w:val="28"/>
          <w:szCs w:val="28"/>
        </w:rPr>
        <w:t xml:space="preserve"> III, UB)</w:t>
      </w:r>
      <w:r w:rsidR="00A842CC">
        <w:rPr>
          <w:rFonts w:ascii="Times" w:hAnsi="Times" w:cs="Times"/>
          <w:color w:val="262626"/>
          <w:sz w:val="28"/>
          <w:szCs w:val="28"/>
        </w:rPr>
        <w:t xml:space="preserve">, </w:t>
      </w:r>
      <w:proofErr w:type="spellStart"/>
      <w:r w:rsidR="00D6471F">
        <w:rPr>
          <w:rFonts w:ascii="Times" w:hAnsi="Times" w:cs="Times"/>
          <w:color w:val="262626"/>
          <w:sz w:val="28"/>
          <w:szCs w:val="28"/>
        </w:rPr>
        <w:t>Yadur</w:t>
      </w:r>
      <w:proofErr w:type="spellEnd"/>
      <w:r w:rsidR="00D6471F">
        <w:rPr>
          <w:rFonts w:ascii="Times" w:hAnsi="Times" w:cs="Times"/>
          <w:color w:val="262626"/>
          <w:sz w:val="28"/>
          <w:szCs w:val="28"/>
        </w:rPr>
        <w:t xml:space="preserve"> González (UB), Alejandra Canals (UB)</w:t>
      </w:r>
      <w:r w:rsidR="0003183B">
        <w:rPr>
          <w:rFonts w:ascii="Times" w:hAnsi="Times" w:cs="Times"/>
          <w:color w:val="262626"/>
          <w:sz w:val="28"/>
          <w:szCs w:val="28"/>
        </w:rPr>
        <w:t xml:space="preserve">, </w:t>
      </w:r>
      <w:r w:rsidR="00DE66AD">
        <w:rPr>
          <w:rFonts w:ascii="Times" w:hAnsi="Times" w:cs="Times"/>
          <w:color w:val="262626"/>
          <w:sz w:val="28"/>
          <w:szCs w:val="28"/>
        </w:rPr>
        <w:t>Ricardo Rivadeneira (UB)</w:t>
      </w:r>
    </w:p>
    <w:p w14:paraId="458FFDDD" w14:textId="77777777" w:rsidR="006F0C47" w:rsidRDefault="00AD1379"/>
    <w:p w14:paraId="441C5F8D" w14:textId="77777777" w:rsidR="00D6471F" w:rsidRDefault="00D6471F"/>
    <w:p w14:paraId="5546F9FB" w14:textId="19D32B9A" w:rsidR="00D6471F" w:rsidRDefault="00D6471F" w:rsidP="00DE66AD">
      <w:pPr>
        <w:jc w:val="both"/>
      </w:pPr>
      <w:r>
        <w:t xml:space="preserve">Esta comunicación </w:t>
      </w:r>
      <w:r>
        <w:t xml:space="preserve">trata </w:t>
      </w:r>
      <w:r w:rsidR="00ED0FC4">
        <w:t xml:space="preserve">de </w:t>
      </w:r>
      <w:r>
        <w:t xml:space="preserve">la problemática de los usos políticos del patrimonio a partir de una reflexión sobre la representación de los pueblos </w:t>
      </w:r>
      <w:r w:rsidR="00DE66AD">
        <w:t>autóctonos</w:t>
      </w:r>
      <w:r>
        <w:t xml:space="preserve"> en los museos. </w:t>
      </w:r>
      <w:r w:rsidR="00DE66AD">
        <w:t xml:space="preserve">Estas instituciones han operado </w:t>
      </w:r>
      <w:r>
        <w:t xml:space="preserve"> </w:t>
      </w:r>
      <w:r w:rsidR="00DE66AD">
        <w:t xml:space="preserve">generalmente </w:t>
      </w:r>
      <w:r>
        <w:t xml:space="preserve">como un instrumento de legitimación del colonialismo, propiciando una visión fragmentada y folclórica de los pueblos conquistados desde un enfoque evolucionista y etnocentrista que reforzaba su imagen como grupos "primitivos". Dicho enfoque </w:t>
      </w:r>
      <w:r w:rsidR="0003183B">
        <w:t>fue</w:t>
      </w:r>
      <w:r>
        <w:t xml:space="preserve"> puesto en cuestión a partir de </w:t>
      </w:r>
      <w:r w:rsidR="00DE66AD">
        <w:t xml:space="preserve">los años sesenta </w:t>
      </w:r>
      <w:r>
        <w:t xml:space="preserve">del siglo XX, </w:t>
      </w:r>
      <w:r w:rsidR="00E161A9">
        <w:t xml:space="preserve">como </w:t>
      </w:r>
      <w:r w:rsidR="00DE66AD">
        <w:t>resultado</w:t>
      </w:r>
      <w:r w:rsidR="0003183B">
        <w:t xml:space="preserve"> de los de</w:t>
      </w:r>
      <w:bookmarkStart w:id="0" w:name="_GoBack"/>
      <w:bookmarkEnd w:id="0"/>
      <w:r w:rsidR="0003183B">
        <w:t xml:space="preserve">bates que aparecieron en el seno de la antropología en un discurso de descolonización y crítica del papel colonial de </w:t>
      </w:r>
      <w:r w:rsidR="00DE66AD">
        <w:t>esta disciplina</w:t>
      </w:r>
      <w:r w:rsidR="00ED0FC4">
        <w:t xml:space="preserve">, y también en el contexto de la </w:t>
      </w:r>
      <w:r w:rsidR="0003183B">
        <w:t xml:space="preserve"> </w:t>
      </w:r>
      <w:r>
        <w:t xml:space="preserve">emergencia de los pueblos indígenas como actores políticos que </w:t>
      </w:r>
      <w:r w:rsidR="0003183B">
        <w:t>comenzaron</w:t>
      </w:r>
      <w:r>
        <w:t xml:space="preserve"> a ejercer presión </w:t>
      </w:r>
      <w:r w:rsidR="0003183B">
        <w:t>para una mayor visualiz</w:t>
      </w:r>
      <w:r w:rsidR="00AD1379">
        <w:t>ación de sus reivindicaciones</w:t>
      </w:r>
      <w:r w:rsidR="0003183B">
        <w:t>.</w:t>
      </w:r>
    </w:p>
    <w:p w14:paraId="4AC42AE3" w14:textId="77777777" w:rsidR="0003183B" w:rsidRDefault="0003183B" w:rsidP="00DE66AD">
      <w:pPr>
        <w:jc w:val="both"/>
      </w:pPr>
    </w:p>
    <w:p w14:paraId="31385EA6" w14:textId="77777777" w:rsidR="00ED0FC4" w:rsidRDefault="0003183B" w:rsidP="00DE66AD">
      <w:pPr>
        <w:jc w:val="both"/>
      </w:pPr>
      <w:r>
        <w:t xml:space="preserve">Esta comunicación parte de distintas investigaciones que nuestro grupo de investigación está desarrollando en distintos países latinoamericanos, analizando el surgimiento de una museología comunitaria que cuestiona las representaciones coloniales y que utiliza los museos con un cambio de paradigma que sitúa a las poblaciones indígenas </w:t>
      </w:r>
      <w:r w:rsidR="00ED0FC4">
        <w:t>(</w:t>
      </w:r>
      <w:r>
        <w:t>antes sólo objeto de análisis</w:t>
      </w:r>
      <w:r w:rsidR="00ED0FC4">
        <w:t>)</w:t>
      </w:r>
      <w:r>
        <w:t xml:space="preserve"> en actores protagonistas que reivindican un papel activo en </w:t>
      </w:r>
      <w:r w:rsidR="00D6471F">
        <w:t>la planificación, gestión y elaboración del discurso museológico</w:t>
      </w:r>
      <w:r w:rsidR="00ED0FC4">
        <w:t xml:space="preserve">. </w:t>
      </w:r>
    </w:p>
    <w:p w14:paraId="4E006561" w14:textId="77777777" w:rsidR="00ED0FC4" w:rsidRDefault="00ED0FC4" w:rsidP="00DE66AD">
      <w:pPr>
        <w:jc w:val="both"/>
      </w:pPr>
    </w:p>
    <w:p w14:paraId="77CC565F" w14:textId="145D4D7D" w:rsidR="00D6471F" w:rsidRDefault="0003183B" w:rsidP="00DE66AD">
      <w:pPr>
        <w:jc w:val="both"/>
      </w:pPr>
      <w:r>
        <w:t xml:space="preserve">Tras unas consideraciones </w:t>
      </w:r>
      <w:r w:rsidR="00AD1379">
        <w:t xml:space="preserve">generales sobre </w:t>
      </w:r>
      <w:r>
        <w:t xml:space="preserve">la evolución de la museología comunitaria en Latinoamérica, </w:t>
      </w:r>
      <w:r w:rsidR="00DE66AD">
        <w:t>presentar</w:t>
      </w:r>
      <w:r w:rsidR="00AD1379">
        <w:t>emos</w:t>
      </w:r>
      <w:r w:rsidR="00DE66AD">
        <w:t xml:space="preserve"> </w:t>
      </w:r>
      <w:r>
        <w:t xml:space="preserve">distintos </w:t>
      </w:r>
      <w:r w:rsidR="00DE66AD">
        <w:t xml:space="preserve">estudios de caso </w:t>
      </w:r>
      <w:r w:rsidR="00AD1379">
        <w:t xml:space="preserve">de </w:t>
      </w:r>
      <w:r w:rsidR="00DE66AD">
        <w:t>museos comunitarios en Mé</w:t>
      </w:r>
      <w:r w:rsidR="00ED0FC4">
        <w:t xml:space="preserve">xico, Chile y Ecuador en los que se produce una colaboración participativa de las comunidades </w:t>
      </w:r>
      <w:r w:rsidR="00AD1379">
        <w:t>autóctonas</w:t>
      </w:r>
      <w:r w:rsidR="00ED0FC4">
        <w:t>.</w:t>
      </w:r>
      <w:r w:rsidR="00AD1379">
        <w:t xml:space="preserve"> Ello </w:t>
      </w:r>
      <w:r w:rsidR="00DE66AD">
        <w:t xml:space="preserve">nos permitirá </w:t>
      </w:r>
      <w:r w:rsidR="00D6471F">
        <w:t xml:space="preserve">reflexionar sobre el deber ético de los museos </w:t>
      </w:r>
      <w:r w:rsidR="00DE66AD">
        <w:t xml:space="preserve">y de la disciplina antropológica </w:t>
      </w:r>
      <w:r w:rsidR="00ED0FC4">
        <w:t>para</w:t>
      </w:r>
      <w:r w:rsidR="00D6471F">
        <w:t xml:space="preserve"> favorecer instancias de integración con su comunidad, </w:t>
      </w:r>
      <w:r w:rsidR="00AD1379">
        <w:t xml:space="preserve">así como </w:t>
      </w:r>
      <w:r w:rsidR="00D6471F">
        <w:t xml:space="preserve">también </w:t>
      </w:r>
      <w:r w:rsidR="00AD1379">
        <w:t>analizar</w:t>
      </w:r>
      <w:r w:rsidR="00D6471F">
        <w:t xml:space="preserve"> los efectos positivos que </w:t>
      </w:r>
      <w:r w:rsidR="00DE66AD">
        <w:t xml:space="preserve">una mayor participación </w:t>
      </w:r>
      <w:r w:rsidR="00AD1379">
        <w:t>comporta</w:t>
      </w:r>
      <w:r w:rsidR="00DE66AD">
        <w:t xml:space="preserve"> en el contexto de una antropología descolonizada. </w:t>
      </w:r>
      <w:r w:rsidR="00D6471F">
        <w:t xml:space="preserve"> Los museos resultan </w:t>
      </w:r>
      <w:r w:rsidR="00DE66AD">
        <w:t xml:space="preserve">así </w:t>
      </w:r>
      <w:r w:rsidR="00D6471F">
        <w:t xml:space="preserve">un escenario clave </w:t>
      </w:r>
      <w:r w:rsidR="00DE66AD">
        <w:t>para</w:t>
      </w:r>
      <w:r w:rsidR="00D6471F">
        <w:t xml:space="preserve"> propiciar valores ciudadanos como el respeto y valoración de la diversidad cultural, anclados en una aproximación </w:t>
      </w:r>
      <w:r w:rsidR="00ED0FC4">
        <w:t>distinta de</w:t>
      </w:r>
      <w:r w:rsidR="00D6471F">
        <w:t xml:space="preserve"> la historia </w:t>
      </w:r>
      <w:r w:rsidR="00ED0FC4">
        <w:t xml:space="preserve">colonial </w:t>
      </w:r>
      <w:r w:rsidR="00D6471F">
        <w:t>que permita, a su vez, la comprensión del actual estado de sus pueb</w:t>
      </w:r>
      <w:r w:rsidR="00AD1379">
        <w:t>los originarios y sus conflictos actuales</w:t>
      </w:r>
      <w:r w:rsidR="00D6471F">
        <w:t xml:space="preserve">.  </w:t>
      </w:r>
    </w:p>
    <w:p w14:paraId="0F8A73F3" w14:textId="77777777" w:rsidR="00D6471F" w:rsidRDefault="00D6471F"/>
    <w:sectPr w:rsidR="00D6471F" w:rsidSect="00843E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80"/>
    <w:rsid w:val="0003183B"/>
    <w:rsid w:val="000942E2"/>
    <w:rsid w:val="000B55AE"/>
    <w:rsid w:val="00294764"/>
    <w:rsid w:val="003D32FC"/>
    <w:rsid w:val="00545A76"/>
    <w:rsid w:val="0059562B"/>
    <w:rsid w:val="00843EC7"/>
    <w:rsid w:val="008F5FDE"/>
    <w:rsid w:val="00A842CC"/>
    <w:rsid w:val="00AD1379"/>
    <w:rsid w:val="00C12C7A"/>
    <w:rsid w:val="00D6471F"/>
    <w:rsid w:val="00DE66AD"/>
    <w:rsid w:val="00E161A9"/>
    <w:rsid w:val="00E72940"/>
    <w:rsid w:val="00ED0FC4"/>
    <w:rsid w:val="00F0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84B3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3E80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3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8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6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1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390</Words>
  <Characters>2147</Characters>
  <Application>Microsoft Macintosh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 XAVIER ROIGE VENTURA</dc:creator>
  <cp:keywords/>
  <dc:description/>
  <cp:lastModifiedBy>FRANCESC XAVIER ROIGE VENTURA</cp:lastModifiedBy>
  <cp:revision>4</cp:revision>
  <dcterms:created xsi:type="dcterms:W3CDTF">2016-10-15T18:41:00Z</dcterms:created>
  <dcterms:modified xsi:type="dcterms:W3CDTF">2016-10-15T20:39:00Z</dcterms:modified>
</cp:coreProperties>
</file>