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996" w:rsidRPr="00885D1E" w:rsidRDefault="004B0996" w:rsidP="004B0996">
      <w:pPr>
        <w:widowControl w:val="0"/>
        <w:autoSpaceDE w:val="0"/>
        <w:autoSpaceDN w:val="0"/>
        <w:adjustRightInd w:val="0"/>
        <w:ind w:right="-198"/>
        <w:jc w:val="both"/>
        <w:rPr>
          <w:rFonts w:ascii="Times" w:hAnsi="Times" w:cs="Times"/>
          <w:lang w:val="es-ES"/>
        </w:rPr>
      </w:pPr>
      <w:r>
        <w:rPr>
          <w:rFonts w:ascii="Times" w:hAnsi="Times" w:cs="Times"/>
          <w:b/>
          <w:bCs/>
          <w:lang w:val="es-ES"/>
        </w:rPr>
        <w:t xml:space="preserve">Debates en torno al reconocimiento constitucional de </w:t>
      </w:r>
      <w:r w:rsidRPr="00885D1E">
        <w:rPr>
          <w:rFonts w:ascii="Times" w:hAnsi="Times" w:cs="Times"/>
          <w:b/>
          <w:bCs/>
          <w:lang w:val="es-ES"/>
        </w:rPr>
        <w:t>afrodescendiente</w:t>
      </w:r>
      <w:r>
        <w:rPr>
          <w:rFonts w:ascii="Times" w:hAnsi="Times" w:cs="Times"/>
          <w:b/>
          <w:bCs/>
          <w:lang w:val="es-ES"/>
        </w:rPr>
        <w:t>s</w:t>
      </w:r>
      <w:r w:rsidRPr="00885D1E">
        <w:rPr>
          <w:rFonts w:ascii="Times" w:hAnsi="Times" w:cs="Times"/>
          <w:b/>
          <w:bCs/>
          <w:lang w:val="es-ES"/>
        </w:rPr>
        <w:t xml:space="preserve"> en México.</w:t>
      </w:r>
    </w:p>
    <w:p w:rsidR="004B0996" w:rsidRPr="00885D1E" w:rsidRDefault="004B0996" w:rsidP="004B0996">
      <w:pPr>
        <w:widowControl w:val="0"/>
        <w:autoSpaceDE w:val="0"/>
        <w:autoSpaceDN w:val="0"/>
        <w:adjustRightInd w:val="0"/>
        <w:ind w:right="-198"/>
        <w:jc w:val="both"/>
        <w:rPr>
          <w:rFonts w:ascii="Times" w:hAnsi="Times" w:cs="Times"/>
          <w:u w:color="0000FF"/>
          <w:lang w:val="es-ES"/>
        </w:rPr>
      </w:pPr>
      <w:r w:rsidRPr="00885D1E">
        <w:rPr>
          <w:rFonts w:ascii="Times" w:hAnsi="Times" w:cs="Times"/>
          <w:lang w:val="es-ES"/>
        </w:rPr>
        <w:t>Gloria Lara Millán</w:t>
      </w:r>
      <w:r>
        <w:rPr>
          <w:rFonts w:ascii="Times" w:hAnsi="Times" w:cs="Times"/>
          <w:lang w:val="es-ES"/>
        </w:rPr>
        <w:t>/</w:t>
      </w:r>
      <w:r w:rsidRPr="00885D1E">
        <w:rPr>
          <w:rFonts w:ascii="Times" w:hAnsi="Times" w:cs="Times"/>
          <w:lang w:val="es-ES"/>
        </w:rPr>
        <w:t>Correo electrónico:</w:t>
      </w:r>
      <w:r w:rsidRPr="00885D1E">
        <w:rPr>
          <w:rFonts w:ascii="Times" w:hAnsi="Times" w:cs="Times"/>
          <w:color w:val="0000FF"/>
          <w:u w:val="single" w:color="0000FF"/>
          <w:lang w:val="es-ES"/>
        </w:rPr>
        <w:t>laram.gloria@gmail.com</w:t>
      </w:r>
    </w:p>
    <w:p w:rsidR="004B0996" w:rsidRDefault="004B0996" w:rsidP="004B0996">
      <w:pPr>
        <w:widowControl w:val="0"/>
        <w:autoSpaceDE w:val="0"/>
        <w:autoSpaceDN w:val="0"/>
        <w:adjustRightInd w:val="0"/>
        <w:ind w:right="-198"/>
        <w:jc w:val="both"/>
        <w:rPr>
          <w:rFonts w:ascii="Times" w:hAnsi="Times" w:cs="Times"/>
          <w:lang w:val="es-ES"/>
        </w:rPr>
      </w:pPr>
      <w:r w:rsidRPr="00885D1E">
        <w:rPr>
          <w:rFonts w:ascii="Times" w:hAnsi="Times" w:cs="Times"/>
          <w:lang w:val="es-ES"/>
        </w:rPr>
        <w:t>Universidad Michoacana de San Nicolás de Hidalgo</w:t>
      </w:r>
    </w:p>
    <w:p w:rsidR="004B0996" w:rsidRDefault="004B0996" w:rsidP="004B0996">
      <w:pPr>
        <w:widowControl w:val="0"/>
        <w:autoSpaceDE w:val="0"/>
        <w:autoSpaceDN w:val="0"/>
        <w:adjustRightInd w:val="0"/>
        <w:ind w:right="-198"/>
        <w:jc w:val="both"/>
        <w:rPr>
          <w:rFonts w:ascii="Times" w:hAnsi="Times" w:cs="Times"/>
          <w:lang w:val="es-ES"/>
        </w:rPr>
      </w:pPr>
      <w:r>
        <w:rPr>
          <w:rFonts w:ascii="Times" w:hAnsi="Times" w:cs="Times"/>
          <w:lang w:val="es-ES"/>
        </w:rPr>
        <w:t xml:space="preserve">Práxedes Muñoz Sánchez/correo electrónico: </w:t>
      </w:r>
      <w:hyperlink r:id="rId5" w:history="1">
        <w:r w:rsidRPr="00447CE8">
          <w:rPr>
            <w:rStyle w:val="Hipervnculo"/>
            <w:rFonts w:ascii="Times" w:hAnsi="Times" w:cs="Times"/>
            <w:lang w:val="es-ES"/>
          </w:rPr>
          <w:t>praxedesm@gmail.com</w:t>
        </w:r>
      </w:hyperlink>
    </w:p>
    <w:p w:rsidR="004B0996" w:rsidRDefault="004B0996" w:rsidP="004B0996">
      <w:pPr>
        <w:widowControl w:val="0"/>
        <w:autoSpaceDE w:val="0"/>
        <w:autoSpaceDN w:val="0"/>
        <w:adjustRightInd w:val="0"/>
        <w:ind w:right="-198"/>
        <w:jc w:val="both"/>
        <w:rPr>
          <w:rFonts w:ascii="Times" w:hAnsi="Times" w:cs="Times"/>
          <w:lang w:val="es-ES"/>
        </w:rPr>
      </w:pPr>
      <w:r>
        <w:rPr>
          <w:rFonts w:ascii="Times" w:hAnsi="Times" w:cs="Times"/>
          <w:lang w:val="es-ES"/>
        </w:rPr>
        <w:t xml:space="preserve">Universidad Católica de Murcia </w:t>
      </w:r>
      <w:bookmarkStart w:id="0" w:name="_GoBack"/>
      <w:bookmarkEnd w:id="0"/>
    </w:p>
    <w:p w:rsidR="004B0996" w:rsidRPr="00885D1E" w:rsidRDefault="004B0996" w:rsidP="004B0996">
      <w:pPr>
        <w:widowControl w:val="0"/>
        <w:autoSpaceDE w:val="0"/>
        <w:autoSpaceDN w:val="0"/>
        <w:adjustRightInd w:val="0"/>
        <w:ind w:right="-198"/>
        <w:jc w:val="both"/>
        <w:rPr>
          <w:rFonts w:ascii="Times" w:hAnsi="Times" w:cs="Times"/>
          <w:lang w:val="es-ES"/>
        </w:rPr>
      </w:pPr>
    </w:p>
    <w:p w:rsidR="004B0996" w:rsidRPr="00885D1E" w:rsidRDefault="004B0996" w:rsidP="004B0996">
      <w:pPr>
        <w:widowControl w:val="0"/>
        <w:autoSpaceDE w:val="0"/>
        <w:autoSpaceDN w:val="0"/>
        <w:adjustRightInd w:val="0"/>
        <w:ind w:right="-198"/>
        <w:jc w:val="both"/>
        <w:rPr>
          <w:rFonts w:ascii="Times" w:hAnsi="Times" w:cs="Times"/>
          <w:u w:color="0000FF"/>
          <w:lang w:val="es-ES"/>
        </w:rPr>
      </w:pPr>
      <w:r>
        <w:rPr>
          <w:rFonts w:ascii="Times" w:hAnsi="Times" w:cs="Times"/>
          <w:u w:color="0000FF"/>
          <w:lang w:val="es-ES"/>
        </w:rPr>
        <w:t>Resumen</w:t>
      </w:r>
    </w:p>
    <w:p w:rsidR="004B0996" w:rsidRPr="004B0996" w:rsidRDefault="004B0996" w:rsidP="004B0996">
      <w:pPr>
        <w:jc w:val="both"/>
        <w:rPr>
          <w:rFonts w:ascii="Times" w:hAnsi="Times" w:cs="Times"/>
          <w:u w:color="0000FF"/>
          <w:lang w:val="es-ES"/>
        </w:rPr>
      </w:pPr>
      <w:r w:rsidRPr="00885D1E">
        <w:rPr>
          <w:rFonts w:ascii="Times" w:hAnsi="Times" w:cs="Times"/>
          <w:u w:color="0000FF"/>
          <w:lang w:val="es-ES"/>
        </w:rPr>
        <w:t>El inicio del tercer milenio se cristalizaron instrumentos y definiciones jurídicas internacionales que impulsaron la formulación de estrategias de reconocimiento y atención a las poblaciones afrodescendientes en el mundo.  En el caso mexicano, el reconocimiento afrodescendiente atraviesa grandes desafíos, entre los cuales se haya el reconocimiento de su presencia viva y legitima por el derecho a la diferencia; la construcción de marcos de referencia que sustenten al sujeto de derecho y,  la definición de acciones contundentes que atiendan de manera especifica las demandas de los colectivos</w:t>
      </w:r>
      <w:r>
        <w:rPr>
          <w:rFonts w:ascii="Times" w:hAnsi="Times" w:cs="Times"/>
          <w:u w:color="0000FF"/>
          <w:lang w:val="es-ES"/>
        </w:rPr>
        <w:t xml:space="preserve"> organizados en el país</w:t>
      </w:r>
      <w:r w:rsidRPr="00885D1E">
        <w:rPr>
          <w:rFonts w:ascii="Times" w:hAnsi="Times" w:cs="Times"/>
          <w:u w:color="0000FF"/>
          <w:lang w:val="es-ES"/>
        </w:rPr>
        <w:t xml:space="preserve">. </w:t>
      </w:r>
      <w:r>
        <w:rPr>
          <w:rFonts w:ascii="Times" w:hAnsi="Times" w:cs="Times"/>
          <w:u w:color="0000FF"/>
          <w:lang w:val="es-ES"/>
        </w:rPr>
        <w:t>Si bien, a</w:t>
      </w:r>
      <w:r>
        <w:rPr>
          <w:rFonts w:ascii="Times" w:hAnsi="Times"/>
        </w:rPr>
        <w:t xml:space="preserve">ctualmente </w:t>
      </w:r>
      <w:r w:rsidRPr="00885D1E">
        <w:rPr>
          <w:rFonts w:ascii="Times" w:hAnsi="Times" w:cs="Times"/>
          <w:lang w:val="es-ES"/>
        </w:rPr>
        <w:t xml:space="preserve">existe un momento histórico favorable para </w:t>
      </w:r>
      <w:r>
        <w:rPr>
          <w:rFonts w:ascii="Times" w:hAnsi="Times" w:cs="Times"/>
          <w:lang w:val="es-ES"/>
        </w:rPr>
        <w:t xml:space="preserve">el reconocimiento de estas poblaciones en el contexto del decenio internacional afrodescendiente promulgado por la ONU y en la obligatoriedad de acciones que el gobierno mexicano debe cumplir en torno a  la eliminación de la discriminación y racismo, existen discursos gubernamentales y actores políticos que ponen en cuestión el reconocimiento de estas poblaciones en el país. Por un lado se alude a que ciertas minorías que no forman parte de los pueblos originarios, tengan derechos particulares, aludiendo que esto llevaría al reconocimiento de derechos particulares de otras minorías en el país. Por otro lado, se alude que el reconocimiento constitucional es una apuesta </w:t>
      </w:r>
      <w:r>
        <w:rPr>
          <w:rFonts w:ascii="Times" w:hAnsi="Times" w:cs="Times"/>
          <w:lang w:val="es-ES"/>
        </w:rPr>
        <w:t xml:space="preserve">mayúscula que debería evaluarse, en tanto que las demandas de los pueblos indígenas y afrodescendientes, logran mayor resonancia  y tienen mayor peso cuando se hallan en las cortes internacionales. </w:t>
      </w:r>
      <w:r w:rsidRPr="00885D1E">
        <w:rPr>
          <w:rFonts w:ascii="Times" w:hAnsi="Times" w:cs="Times"/>
          <w:u w:color="0000FF"/>
          <w:lang w:val="es-ES"/>
        </w:rPr>
        <w:t>E</w:t>
      </w:r>
      <w:r>
        <w:rPr>
          <w:rFonts w:ascii="Times" w:hAnsi="Times" w:cs="Times"/>
          <w:u w:color="0000FF"/>
          <w:lang w:val="es-ES"/>
        </w:rPr>
        <w:t xml:space="preserve">l objetivo de </w:t>
      </w:r>
      <w:r w:rsidRPr="00885D1E">
        <w:rPr>
          <w:rFonts w:ascii="Times" w:hAnsi="Times" w:cs="Times"/>
          <w:u w:color="0000FF"/>
          <w:lang w:val="es-ES"/>
        </w:rPr>
        <w:t xml:space="preserve">esta comunicación </w:t>
      </w:r>
      <w:r>
        <w:rPr>
          <w:rFonts w:ascii="Times" w:hAnsi="Times" w:cs="Times"/>
          <w:u w:color="0000FF"/>
          <w:lang w:val="es-ES"/>
        </w:rPr>
        <w:t xml:space="preserve">es centrarse en estos discursos que forman parte de los debates actuales y reflexionar en torno a las efectos que tienen en la lucha de los colectivos organizados que luchan por su reconocimiento étnico en el país. </w:t>
      </w:r>
      <w:r>
        <w:rPr>
          <w:rFonts w:ascii="Times" w:hAnsi="Times" w:cs="Times New Roman"/>
        </w:rPr>
        <w:t xml:space="preserve">La movilización </w:t>
      </w:r>
      <w:r>
        <w:rPr>
          <w:rFonts w:ascii="Times" w:hAnsi="Times" w:cs="Times New Roman"/>
        </w:rPr>
        <w:t xml:space="preserve">etnopolítica </w:t>
      </w:r>
      <w:r>
        <w:rPr>
          <w:rFonts w:ascii="Times" w:hAnsi="Times" w:cs="Times New Roman"/>
        </w:rPr>
        <w:t>afromexicana busca respuestas concretas ante las condiciones de marginalidad, carencia de servicios y falta de oportunidades, mismos que aluden a derechos básicos, los cuales</w:t>
      </w:r>
      <w:r>
        <w:rPr>
          <w:rFonts w:ascii="Times" w:hAnsi="Times" w:cs="Times New Roman"/>
        </w:rPr>
        <w:t xml:space="preserve"> no están garantizados por ser ciudadanos, sino son resultado de la discriminación, el racismo y el abandono institucional por parte del Estado, ambos elementos estructurales en los que cimenta la pobreza en el país</w:t>
      </w:r>
      <w:r>
        <w:rPr>
          <w:rFonts w:ascii="Times" w:hAnsi="Times" w:cs="Times New Roman"/>
        </w:rPr>
        <w:t xml:space="preserve">. </w:t>
      </w:r>
    </w:p>
    <w:p w:rsidR="004B0996" w:rsidRDefault="004B0996" w:rsidP="004B0996">
      <w:pPr>
        <w:jc w:val="both"/>
        <w:rPr>
          <w:rFonts w:ascii="Times" w:hAnsi="Times" w:cs="Times"/>
          <w:u w:color="0000FF"/>
          <w:lang w:val="es-ES"/>
        </w:rPr>
      </w:pPr>
    </w:p>
    <w:p w:rsidR="004B0996" w:rsidRDefault="004B0996" w:rsidP="004B0996">
      <w:pPr>
        <w:jc w:val="both"/>
        <w:rPr>
          <w:rFonts w:ascii="Times" w:hAnsi="Times" w:cs="Times"/>
          <w:u w:color="0000FF"/>
          <w:lang w:val="es-ES"/>
        </w:rPr>
      </w:pPr>
    </w:p>
    <w:p w:rsidR="004B0996" w:rsidRPr="00885D1E" w:rsidRDefault="004B0996" w:rsidP="004B0996">
      <w:pPr>
        <w:widowControl w:val="0"/>
        <w:autoSpaceDE w:val="0"/>
        <w:autoSpaceDN w:val="0"/>
        <w:adjustRightInd w:val="0"/>
        <w:ind w:right="-198"/>
        <w:jc w:val="both"/>
        <w:rPr>
          <w:rFonts w:ascii="Times" w:hAnsi="Times" w:cs="Times"/>
          <w:u w:color="0000FF"/>
          <w:lang w:val="es-ES"/>
        </w:rPr>
      </w:pPr>
      <w:r w:rsidRPr="00885D1E">
        <w:rPr>
          <w:rFonts w:ascii="Times" w:hAnsi="Times" w:cs="Times"/>
          <w:u w:color="0000FF"/>
          <w:lang w:val="es-ES"/>
        </w:rPr>
        <w:t xml:space="preserve">Palabras clave: afrodescendientes, reconocimiento étnico, </w:t>
      </w:r>
      <w:r>
        <w:rPr>
          <w:rFonts w:ascii="Times" w:hAnsi="Times" w:cs="Times"/>
          <w:u w:color="0000FF"/>
          <w:lang w:val="es-ES"/>
        </w:rPr>
        <w:t xml:space="preserve">discriminación, </w:t>
      </w:r>
      <w:r w:rsidRPr="00885D1E">
        <w:rPr>
          <w:rFonts w:ascii="Times" w:hAnsi="Times" w:cs="Times"/>
          <w:u w:color="0000FF"/>
          <w:lang w:val="es-ES"/>
        </w:rPr>
        <w:t>sujetos de derecho, derechos humanos</w:t>
      </w:r>
      <w:r>
        <w:rPr>
          <w:rFonts w:ascii="Times" w:hAnsi="Times" w:cs="Times"/>
          <w:u w:color="0000FF"/>
          <w:lang w:val="es-ES"/>
        </w:rPr>
        <w:t>.</w:t>
      </w:r>
    </w:p>
    <w:p w:rsidR="004B0996" w:rsidRDefault="004B0996" w:rsidP="004B0996">
      <w:pPr>
        <w:rPr>
          <w:rFonts w:eastAsia="Times New Roman" w:cs="Times New Roman"/>
        </w:rPr>
      </w:pPr>
    </w:p>
    <w:p w:rsidR="0004234F" w:rsidRDefault="0004234F"/>
    <w:sectPr w:rsidR="0004234F" w:rsidSect="0004234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52"/>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996"/>
    <w:rsid w:val="0004234F"/>
    <w:rsid w:val="004B0996"/>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0E299B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MX"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099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B0996"/>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MX"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099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B09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praxedesm@gmail.co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376</Words>
  <Characters>2255</Characters>
  <Application>Microsoft Macintosh Word</Application>
  <DocSecurity>0</DocSecurity>
  <Lines>38</Lines>
  <Paragraphs>8</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2629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Debates reconocimiento afromexicanos</dc:title>
  <dc:subject/>
  <dc:creator/>
  <cp:keywords/>
  <dc:description/>
  <cp:lastModifiedBy>Facultad de Historia</cp:lastModifiedBy>
  <cp:revision>1</cp:revision>
  <dcterms:created xsi:type="dcterms:W3CDTF">2016-10-20T03:09:00Z</dcterms:created>
  <dcterms:modified xsi:type="dcterms:W3CDTF">2016-10-20T03:25:00Z</dcterms:modified>
  <cp:category/>
</cp:coreProperties>
</file>