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06" w:rsidRDefault="003413A0" w:rsidP="003B0B25">
      <w:pPr>
        <w:tabs>
          <w:tab w:val="left" w:pos="7155"/>
        </w:tabs>
        <w:rPr>
          <w:rFonts w:ascii="Times New Roman" w:hAnsi="Times New Roman" w:cs="Times New Roman"/>
          <w:sz w:val="24"/>
          <w:szCs w:val="24"/>
        </w:rPr>
      </w:pPr>
      <w:r w:rsidRPr="008B5F63">
        <w:rPr>
          <w:rFonts w:ascii="Times New Roman" w:hAnsi="Times New Roman" w:cs="Times New Roman"/>
          <w:sz w:val="24"/>
          <w:szCs w:val="24"/>
        </w:rPr>
        <w:t>INNOVACIÓN EDUCATIVA: DISPOSITIVOS E IMAGINARIOS PARA UNA NUEVA ORTODOXIA EN LA UNIVERSIDAD ESPAÑOLA</w:t>
      </w:r>
    </w:p>
    <w:p w:rsidR="00DC12B3" w:rsidRPr="00DC12B3" w:rsidRDefault="00DC12B3" w:rsidP="00DC12B3">
      <w:pPr>
        <w:pStyle w:val="Ttulo1"/>
        <w:rPr>
          <w:b w:val="0"/>
          <w:sz w:val="24"/>
          <w:szCs w:val="24"/>
        </w:rPr>
      </w:pPr>
      <w:r w:rsidRPr="00DC12B3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10</w:t>
      </w:r>
      <w:r w:rsidRPr="00DC12B3">
        <w:rPr>
          <w:b w:val="0"/>
          <w:sz w:val="24"/>
          <w:szCs w:val="24"/>
        </w:rPr>
        <w:t>: Desigualdades educativas, políticas públicas y etnografía crítica en España</w:t>
      </w:r>
    </w:p>
    <w:p w:rsidR="003B0205" w:rsidRPr="008B5F63" w:rsidRDefault="003B0205" w:rsidP="003B0B25">
      <w:pPr>
        <w:tabs>
          <w:tab w:val="left" w:pos="7155"/>
        </w:tabs>
        <w:rPr>
          <w:rFonts w:ascii="Times New Roman" w:hAnsi="Times New Roman" w:cs="Times New Roman"/>
          <w:sz w:val="24"/>
          <w:szCs w:val="24"/>
        </w:rPr>
      </w:pPr>
      <w:r w:rsidRPr="008B5F63">
        <w:rPr>
          <w:rFonts w:ascii="Times New Roman" w:hAnsi="Times New Roman" w:cs="Times New Roman"/>
          <w:sz w:val="24"/>
          <w:szCs w:val="24"/>
        </w:rPr>
        <w:t xml:space="preserve">Pedro García </w:t>
      </w:r>
      <w:proofErr w:type="spellStart"/>
      <w:r w:rsidRPr="008B5F63">
        <w:rPr>
          <w:rFonts w:ascii="Times New Roman" w:hAnsi="Times New Roman" w:cs="Times New Roman"/>
          <w:sz w:val="24"/>
          <w:szCs w:val="24"/>
        </w:rPr>
        <w:t>Pilán</w:t>
      </w:r>
      <w:proofErr w:type="spellEnd"/>
    </w:p>
    <w:p w:rsidR="00543536" w:rsidRPr="008B5F63" w:rsidRDefault="00543536" w:rsidP="00543536">
      <w:pPr>
        <w:tabs>
          <w:tab w:val="left" w:pos="715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B5F63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8B5F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5F63">
        <w:rPr>
          <w:rFonts w:ascii="Times New Roman" w:hAnsi="Times New Roman" w:cs="Times New Roman"/>
          <w:sz w:val="24"/>
          <w:szCs w:val="24"/>
        </w:rPr>
        <w:t>València</w:t>
      </w:r>
      <w:proofErr w:type="spellEnd"/>
    </w:p>
    <w:p w:rsidR="003B0205" w:rsidRPr="008B5F63" w:rsidRDefault="00543536" w:rsidP="00543536">
      <w:pPr>
        <w:tabs>
          <w:tab w:val="left" w:pos="7155"/>
        </w:tabs>
        <w:rPr>
          <w:rFonts w:ascii="Times New Roman" w:hAnsi="Times New Roman" w:cs="Times New Roman"/>
          <w:sz w:val="24"/>
          <w:szCs w:val="24"/>
        </w:rPr>
      </w:pPr>
      <w:r w:rsidRPr="008B5F63">
        <w:rPr>
          <w:rFonts w:ascii="Times New Roman" w:hAnsi="Times New Roman" w:cs="Times New Roman"/>
          <w:sz w:val="24"/>
          <w:szCs w:val="24"/>
        </w:rPr>
        <w:t xml:space="preserve"> </w:t>
      </w:r>
      <w:r w:rsidR="003B0205" w:rsidRPr="008B5F63">
        <w:rPr>
          <w:rFonts w:ascii="Times New Roman" w:hAnsi="Times New Roman" w:cs="Times New Roman"/>
          <w:sz w:val="24"/>
          <w:szCs w:val="24"/>
        </w:rPr>
        <w:t>(</w:t>
      </w:r>
      <w:hyperlink r:id="rId4" w:history="1">
        <w:r w:rsidR="003B0205" w:rsidRPr="008B5F63">
          <w:rPr>
            <w:rStyle w:val="Hipervnculo"/>
            <w:rFonts w:ascii="Times New Roman" w:hAnsi="Times New Roman" w:cs="Times New Roman"/>
            <w:sz w:val="24"/>
            <w:szCs w:val="24"/>
          </w:rPr>
          <w:t>pedro.garcia@uv.es</w:t>
        </w:r>
      </w:hyperlink>
      <w:r w:rsidR="003B0205" w:rsidRPr="008B5F63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</w:p>
    <w:p w:rsidR="003B0B25" w:rsidRPr="008B5F63" w:rsidRDefault="003B0B25" w:rsidP="003B0B25">
      <w:pPr>
        <w:tabs>
          <w:tab w:val="left" w:pos="7155"/>
        </w:tabs>
        <w:rPr>
          <w:rFonts w:ascii="Times New Roman" w:hAnsi="Times New Roman" w:cs="Times New Roman"/>
          <w:sz w:val="24"/>
          <w:szCs w:val="24"/>
        </w:rPr>
      </w:pPr>
    </w:p>
    <w:p w:rsidR="008B5F63" w:rsidRDefault="003B0B25" w:rsidP="0001052E">
      <w:pPr>
        <w:tabs>
          <w:tab w:val="left" w:pos="71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F63">
        <w:rPr>
          <w:rFonts w:ascii="Times New Roman" w:hAnsi="Times New Roman" w:cs="Times New Roman"/>
          <w:sz w:val="24"/>
          <w:szCs w:val="24"/>
        </w:rPr>
        <w:t>Se pretende contribuir al análisis de las políticas universitarias dedicadas a la implantación de la “innovación educativa”</w:t>
      </w:r>
      <w:r w:rsidR="003413A0" w:rsidRPr="008B5F63">
        <w:rPr>
          <w:rFonts w:ascii="Times New Roman" w:hAnsi="Times New Roman" w:cs="Times New Roman"/>
          <w:sz w:val="24"/>
          <w:szCs w:val="24"/>
        </w:rPr>
        <w:t xml:space="preserve">, partiendo 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de </w:t>
      </w:r>
      <w:r w:rsidR="003413A0" w:rsidRPr="008B5F63">
        <w:rPr>
          <w:rFonts w:ascii="Times New Roman" w:hAnsi="Times New Roman" w:cs="Times New Roman"/>
          <w:sz w:val="24"/>
          <w:szCs w:val="24"/>
        </w:rPr>
        <w:t xml:space="preserve">la teoría de los campos de </w:t>
      </w:r>
      <w:proofErr w:type="spellStart"/>
      <w:r w:rsidR="003413A0" w:rsidRPr="008B5F63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="003413A0" w:rsidRPr="008B5F63">
        <w:rPr>
          <w:rFonts w:ascii="Times New Roman" w:hAnsi="Times New Roman" w:cs="Times New Roman"/>
          <w:sz w:val="24"/>
          <w:szCs w:val="24"/>
        </w:rPr>
        <w:t xml:space="preserve"> 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y de los conceptos de </w:t>
      </w:r>
      <w:r w:rsidR="004853D7" w:rsidRPr="008B5F63">
        <w:rPr>
          <w:rFonts w:ascii="Times New Roman" w:hAnsi="Times New Roman" w:cs="Times New Roman"/>
          <w:sz w:val="24"/>
          <w:szCs w:val="24"/>
        </w:rPr>
        <w:t>“dispositivo” (Foucault</w:t>
      </w:r>
      <w:r w:rsidR="00970932">
        <w:rPr>
          <w:rFonts w:ascii="Times New Roman" w:hAnsi="Times New Roman" w:cs="Times New Roman"/>
          <w:sz w:val="24"/>
          <w:szCs w:val="24"/>
        </w:rPr>
        <w:t>)</w:t>
      </w:r>
      <w:r w:rsidR="004853D7" w:rsidRPr="008B5F63">
        <w:rPr>
          <w:rFonts w:ascii="Times New Roman" w:hAnsi="Times New Roman" w:cs="Times New Roman"/>
          <w:sz w:val="24"/>
          <w:szCs w:val="24"/>
        </w:rPr>
        <w:t xml:space="preserve"> y de “imaginario”</w:t>
      </w:r>
      <w:r w:rsidR="000105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1052E">
        <w:rPr>
          <w:rFonts w:ascii="Times New Roman" w:hAnsi="Times New Roman" w:cs="Times New Roman"/>
          <w:sz w:val="24"/>
          <w:szCs w:val="24"/>
        </w:rPr>
        <w:t>Castoriadis</w:t>
      </w:r>
      <w:proofErr w:type="spellEnd"/>
      <w:r w:rsidR="004853D7" w:rsidRPr="008B5F63">
        <w:rPr>
          <w:rFonts w:ascii="Times New Roman" w:hAnsi="Times New Roman" w:cs="Times New Roman"/>
          <w:sz w:val="24"/>
          <w:szCs w:val="24"/>
        </w:rPr>
        <w:t>)</w:t>
      </w:r>
      <w:r w:rsidR="00DC12B3">
        <w:rPr>
          <w:rFonts w:ascii="Times New Roman" w:hAnsi="Times New Roman" w:cs="Times New Roman"/>
          <w:sz w:val="24"/>
          <w:szCs w:val="24"/>
        </w:rPr>
        <w:t xml:space="preserve">. Para ello se combina 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el análisis del discurso con </w:t>
      </w:r>
      <w:r w:rsidR="00B74ED8" w:rsidRPr="008B5F63">
        <w:rPr>
          <w:rFonts w:ascii="Times New Roman" w:hAnsi="Times New Roman" w:cs="Times New Roman"/>
          <w:sz w:val="24"/>
          <w:szCs w:val="24"/>
        </w:rPr>
        <w:t>la observación par</w:t>
      </w:r>
      <w:r w:rsidR="00DA0977" w:rsidRPr="008B5F63">
        <w:rPr>
          <w:rFonts w:ascii="Times New Roman" w:hAnsi="Times New Roman" w:cs="Times New Roman"/>
          <w:sz w:val="24"/>
          <w:szCs w:val="24"/>
        </w:rPr>
        <w:t>t</w:t>
      </w:r>
      <w:r w:rsidR="00B74ED8" w:rsidRPr="008B5F63">
        <w:rPr>
          <w:rFonts w:ascii="Times New Roman" w:hAnsi="Times New Roman" w:cs="Times New Roman"/>
          <w:sz w:val="24"/>
          <w:szCs w:val="24"/>
        </w:rPr>
        <w:t>icipante</w:t>
      </w:r>
      <w:r w:rsidR="00DC12B3">
        <w:rPr>
          <w:rFonts w:ascii="Times New Roman" w:hAnsi="Times New Roman" w:cs="Times New Roman"/>
          <w:sz w:val="24"/>
          <w:szCs w:val="24"/>
        </w:rPr>
        <w:t xml:space="preserve"> en una universidad pública española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52E" w:rsidRDefault="004853D7" w:rsidP="0001052E">
      <w:pPr>
        <w:tabs>
          <w:tab w:val="left" w:pos="71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F63">
        <w:rPr>
          <w:rFonts w:ascii="Times New Roman" w:hAnsi="Times New Roman" w:cs="Times New Roman"/>
          <w:sz w:val="24"/>
          <w:szCs w:val="24"/>
        </w:rPr>
        <w:t>El trabajo de divide en dos partes: en la primera</w:t>
      </w:r>
      <w:r w:rsidR="008B5F63">
        <w:rPr>
          <w:rFonts w:ascii="Times New Roman" w:hAnsi="Times New Roman" w:cs="Times New Roman"/>
          <w:sz w:val="24"/>
          <w:szCs w:val="24"/>
        </w:rPr>
        <w:t xml:space="preserve">, </w:t>
      </w:r>
      <w:r w:rsidRPr="008B5F63">
        <w:rPr>
          <w:rFonts w:ascii="Times New Roman" w:hAnsi="Times New Roman" w:cs="Times New Roman"/>
          <w:sz w:val="24"/>
          <w:szCs w:val="24"/>
        </w:rPr>
        <w:t>se analizan los discursos que promueven la necesidad de incorporar metodologías innovadoras en la enseñanza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 universitaria</w:t>
      </w:r>
      <w:r w:rsidRPr="008B5F63">
        <w:rPr>
          <w:rFonts w:ascii="Times New Roman" w:hAnsi="Times New Roman" w:cs="Times New Roman"/>
          <w:sz w:val="24"/>
          <w:szCs w:val="24"/>
        </w:rPr>
        <w:t>, configurándose un imaginario</w:t>
      </w:r>
      <w:r w:rsidR="0001052E">
        <w:rPr>
          <w:rFonts w:ascii="Times New Roman" w:hAnsi="Times New Roman" w:cs="Times New Roman"/>
          <w:sz w:val="24"/>
          <w:szCs w:val="24"/>
        </w:rPr>
        <w:t xml:space="preserve"> social</w:t>
      </w:r>
      <w:r w:rsidRPr="008B5F63">
        <w:rPr>
          <w:rFonts w:ascii="Times New Roman" w:hAnsi="Times New Roman" w:cs="Times New Roman"/>
          <w:sz w:val="24"/>
          <w:szCs w:val="24"/>
        </w:rPr>
        <w:t xml:space="preserve"> en el que las TIC y las pedagogías </w:t>
      </w:r>
      <w:proofErr w:type="spellStart"/>
      <w:r w:rsidRPr="008B5F63">
        <w:rPr>
          <w:rFonts w:ascii="Times New Roman" w:hAnsi="Times New Roman" w:cs="Times New Roman"/>
          <w:sz w:val="24"/>
          <w:szCs w:val="24"/>
        </w:rPr>
        <w:t>psicologicistas</w:t>
      </w:r>
      <w:proofErr w:type="spellEnd"/>
      <w:r w:rsidRPr="008B5F63">
        <w:rPr>
          <w:rFonts w:ascii="Times New Roman" w:hAnsi="Times New Roman" w:cs="Times New Roman"/>
          <w:sz w:val="24"/>
          <w:szCs w:val="24"/>
        </w:rPr>
        <w:t xml:space="preserve"> juegan un papel central. </w:t>
      </w:r>
      <w:r w:rsidR="003B0205" w:rsidRPr="008B5F63">
        <w:rPr>
          <w:rFonts w:ascii="Times New Roman" w:hAnsi="Times New Roman" w:cs="Times New Roman"/>
          <w:sz w:val="24"/>
          <w:szCs w:val="24"/>
        </w:rPr>
        <w:t xml:space="preserve">Se distingue </w:t>
      </w:r>
      <w:r w:rsidR="0001052E">
        <w:rPr>
          <w:rFonts w:ascii="Times New Roman" w:hAnsi="Times New Roman" w:cs="Times New Roman"/>
          <w:sz w:val="24"/>
          <w:szCs w:val="24"/>
        </w:rPr>
        <w:t>entre los discursos</w:t>
      </w:r>
      <w:r w:rsidR="003B0205" w:rsidRPr="008B5F63">
        <w:rPr>
          <w:rFonts w:ascii="Times New Roman" w:hAnsi="Times New Roman" w:cs="Times New Roman"/>
          <w:sz w:val="24"/>
          <w:szCs w:val="24"/>
        </w:rPr>
        <w:t xml:space="preserve"> </w:t>
      </w:r>
      <w:r w:rsidR="00970932">
        <w:rPr>
          <w:rFonts w:ascii="Times New Roman" w:hAnsi="Times New Roman" w:cs="Times New Roman"/>
          <w:sz w:val="24"/>
          <w:szCs w:val="24"/>
        </w:rPr>
        <w:t>políticos</w:t>
      </w:r>
      <w:r w:rsidR="003B0205" w:rsidRPr="008B5F63">
        <w:rPr>
          <w:rFonts w:ascii="Times New Roman" w:hAnsi="Times New Roman" w:cs="Times New Roman"/>
          <w:sz w:val="24"/>
          <w:szCs w:val="24"/>
        </w:rPr>
        <w:t>, que opera</w:t>
      </w:r>
      <w:r w:rsidR="00180EAB" w:rsidRPr="008B5F63">
        <w:rPr>
          <w:rFonts w:ascii="Times New Roman" w:hAnsi="Times New Roman" w:cs="Times New Roman"/>
          <w:sz w:val="24"/>
          <w:szCs w:val="24"/>
        </w:rPr>
        <w:t>n</w:t>
      </w:r>
      <w:r w:rsidR="003B0205" w:rsidRPr="008B5F63">
        <w:rPr>
          <w:rFonts w:ascii="Times New Roman" w:hAnsi="Times New Roman" w:cs="Times New Roman"/>
          <w:sz w:val="24"/>
          <w:szCs w:val="24"/>
        </w:rPr>
        <w:t xml:space="preserve"> teniendo como punto de referencia al conjunto de la sociedad</w:t>
      </w:r>
      <w:r w:rsidR="00B74ED8" w:rsidRPr="008B5F63">
        <w:rPr>
          <w:rFonts w:ascii="Times New Roman" w:hAnsi="Times New Roman" w:cs="Times New Roman"/>
          <w:sz w:val="24"/>
          <w:szCs w:val="24"/>
        </w:rPr>
        <w:t xml:space="preserve">, y que se basan en una </w:t>
      </w:r>
      <w:r w:rsidR="00180EAB" w:rsidRPr="008B5F63">
        <w:rPr>
          <w:rFonts w:ascii="Times New Roman" w:hAnsi="Times New Roman" w:cs="Times New Roman"/>
          <w:sz w:val="24"/>
          <w:szCs w:val="24"/>
        </w:rPr>
        <w:t>concepción redentora de la innovación y las TIC</w:t>
      </w:r>
      <w:r w:rsidR="0001052E">
        <w:rPr>
          <w:rFonts w:ascii="Times New Roman" w:hAnsi="Times New Roman" w:cs="Times New Roman"/>
          <w:sz w:val="24"/>
          <w:szCs w:val="24"/>
        </w:rPr>
        <w:t xml:space="preserve"> (</w:t>
      </w:r>
      <w:r w:rsidR="008B5F63" w:rsidRPr="008B5F63">
        <w:rPr>
          <w:rFonts w:ascii="Times New Roman" w:hAnsi="Times New Roman" w:cs="Times New Roman"/>
          <w:sz w:val="24"/>
          <w:szCs w:val="24"/>
        </w:rPr>
        <w:t xml:space="preserve">conceptos en torno los cuales se forman imaginarios sociales que permiten concebir un futuro </w:t>
      </w:r>
      <w:r w:rsidR="0001052E">
        <w:rPr>
          <w:rFonts w:ascii="Times New Roman" w:hAnsi="Times New Roman" w:cs="Times New Roman"/>
          <w:sz w:val="24"/>
          <w:szCs w:val="24"/>
        </w:rPr>
        <w:t xml:space="preserve">de progreso); 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y los de tipo </w:t>
      </w:r>
      <w:r w:rsidR="00970932">
        <w:rPr>
          <w:rFonts w:ascii="Times New Roman" w:hAnsi="Times New Roman" w:cs="Times New Roman"/>
          <w:sz w:val="24"/>
          <w:szCs w:val="24"/>
        </w:rPr>
        <w:t>pedagógico</w:t>
      </w:r>
      <w:r w:rsidR="00B74ED8" w:rsidRPr="008B5F63">
        <w:rPr>
          <w:rFonts w:ascii="Times New Roman" w:hAnsi="Times New Roman" w:cs="Times New Roman"/>
          <w:sz w:val="24"/>
          <w:szCs w:val="24"/>
        </w:rPr>
        <w:t xml:space="preserve">, </w:t>
      </w:r>
      <w:r w:rsidR="003B0205" w:rsidRPr="008B5F63">
        <w:rPr>
          <w:rFonts w:ascii="Times New Roman" w:hAnsi="Times New Roman" w:cs="Times New Roman"/>
          <w:sz w:val="24"/>
          <w:szCs w:val="24"/>
        </w:rPr>
        <w:t xml:space="preserve">relativos a las nuevas interacciones </w:t>
      </w:r>
      <w:r w:rsidR="0001052E">
        <w:rPr>
          <w:rFonts w:ascii="Times New Roman" w:hAnsi="Times New Roman" w:cs="Times New Roman"/>
          <w:sz w:val="24"/>
          <w:szCs w:val="24"/>
        </w:rPr>
        <w:t xml:space="preserve">que deben darse </w:t>
      </w:r>
      <w:r w:rsidR="00B74ED8" w:rsidRPr="008B5F63">
        <w:rPr>
          <w:rFonts w:ascii="Times New Roman" w:hAnsi="Times New Roman" w:cs="Times New Roman"/>
          <w:sz w:val="24"/>
          <w:szCs w:val="24"/>
        </w:rPr>
        <w:t>en las aula</w:t>
      </w:r>
      <w:r w:rsidR="0001052E">
        <w:rPr>
          <w:rFonts w:ascii="Times New Roman" w:hAnsi="Times New Roman" w:cs="Times New Roman"/>
          <w:sz w:val="24"/>
          <w:szCs w:val="24"/>
        </w:rPr>
        <w:t>s</w:t>
      </w:r>
      <w:r w:rsidR="00B74ED8" w:rsidRPr="008B5F63">
        <w:rPr>
          <w:rFonts w:ascii="Times New Roman" w:hAnsi="Times New Roman" w:cs="Times New Roman"/>
          <w:sz w:val="24"/>
          <w:szCs w:val="24"/>
        </w:rPr>
        <w:t xml:space="preserve">, </w:t>
      </w:r>
      <w:r w:rsidR="003B0205" w:rsidRPr="008B5F63">
        <w:rPr>
          <w:rFonts w:ascii="Times New Roman" w:hAnsi="Times New Roman" w:cs="Times New Roman"/>
          <w:sz w:val="24"/>
          <w:szCs w:val="24"/>
        </w:rPr>
        <w:t xml:space="preserve">inteligibles desde las perspectivas de individualización materializadas a través de las </w:t>
      </w:r>
      <w:r w:rsidR="0001052E">
        <w:rPr>
          <w:rFonts w:ascii="Times New Roman" w:hAnsi="Times New Roman" w:cs="Times New Roman"/>
          <w:sz w:val="24"/>
          <w:szCs w:val="24"/>
        </w:rPr>
        <w:t>“</w:t>
      </w:r>
      <w:r w:rsidR="003B0205" w:rsidRPr="008B5F63">
        <w:rPr>
          <w:rFonts w:ascii="Times New Roman" w:hAnsi="Times New Roman" w:cs="Times New Roman"/>
          <w:sz w:val="24"/>
          <w:szCs w:val="24"/>
        </w:rPr>
        <w:t>tecnologías</w:t>
      </w:r>
      <w:r w:rsidR="0001052E">
        <w:rPr>
          <w:rFonts w:ascii="Times New Roman" w:hAnsi="Times New Roman" w:cs="Times New Roman"/>
          <w:sz w:val="24"/>
          <w:szCs w:val="24"/>
        </w:rPr>
        <w:t xml:space="preserve"> del yo” (Foucault)</w:t>
      </w:r>
      <w:r w:rsidR="00180EAB" w:rsidRPr="008B5F63">
        <w:rPr>
          <w:rFonts w:ascii="Times New Roman" w:hAnsi="Times New Roman" w:cs="Times New Roman"/>
          <w:sz w:val="24"/>
          <w:szCs w:val="24"/>
        </w:rPr>
        <w:t xml:space="preserve">. </w:t>
      </w:r>
      <w:r w:rsidR="0001052E">
        <w:rPr>
          <w:rFonts w:ascii="Times New Roman" w:hAnsi="Times New Roman" w:cs="Times New Roman"/>
          <w:sz w:val="24"/>
          <w:szCs w:val="24"/>
        </w:rPr>
        <w:t>Ambos tienden a complementase en la legitimación de un discurso educativo neoliberal.</w:t>
      </w:r>
    </w:p>
    <w:p w:rsidR="00DA0977" w:rsidRPr="008B5F63" w:rsidRDefault="00DA0977" w:rsidP="0001052E">
      <w:pPr>
        <w:tabs>
          <w:tab w:val="left" w:pos="71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F63">
        <w:rPr>
          <w:rFonts w:ascii="Times New Roman" w:hAnsi="Times New Roman" w:cs="Times New Roman"/>
          <w:sz w:val="24"/>
          <w:szCs w:val="24"/>
        </w:rPr>
        <w:t>En la segunda parte</w:t>
      </w:r>
      <w:r w:rsidR="0001052E">
        <w:rPr>
          <w:rFonts w:ascii="Times New Roman" w:hAnsi="Times New Roman" w:cs="Times New Roman"/>
          <w:sz w:val="24"/>
          <w:szCs w:val="24"/>
        </w:rPr>
        <w:t>,</w:t>
      </w:r>
      <w:r w:rsidRPr="008B5F63">
        <w:rPr>
          <w:rFonts w:ascii="Times New Roman" w:hAnsi="Times New Roman" w:cs="Times New Roman"/>
          <w:sz w:val="24"/>
          <w:szCs w:val="24"/>
        </w:rPr>
        <w:t xml:space="preserve"> el análisis etnográfico de un caso nos permite comprender cómo la institucionalización de agencias encargadas de  promover la</w:t>
      </w:r>
      <w:r w:rsidR="008B5F63" w:rsidRPr="008B5F63">
        <w:rPr>
          <w:rFonts w:ascii="Times New Roman" w:hAnsi="Times New Roman" w:cs="Times New Roman"/>
          <w:sz w:val="24"/>
          <w:szCs w:val="24"/>
        </w:rPr>
        <w:t xml:space="preserve"> </w:t>
      </w:r>
      <w:r w:rsidRPr="008B5F63">
        <w:rPr>
          <w:rFonts w:ascii="Times New Roman" w:hAnsi="Times New Roman" w:cs="Times New Roman"/>
          <w:sz w:val="24"/>
          <w:szCs w:val="24"/>
        </w:rPr>
        <w:t xml:space="preserve">innovación </w:t>
      </w:r>
      <w:r w:rsidR="008B5F63" w:rsidRPr="008B5F63">
        <w:rPr>
          <w:rFonts w:ascii="Times New Roman" w:hAnsi="Times New Roman" w:cs="Times New Roman"/>
          <w:sz w:val="24"/>
          <w:szCs w:val="24"/>
        </w:rPr>
        <w:t xml:space="preserve">como la nueva ortodoxia educativa, </w:t>
      </w:r>
      <w:r w:rsidR="0001052E">
        <w:rPr>
          <w:rFonts w:ascii="Times New Roman" w:hAnsi="Times New Roman" w:cs="Times New Roman"/>
          <w:sz w:val="24"/>
          <w:szCs w:val="24"/>
        </w:rPr>
        <w:t xml:space="preserve">al establecer dispositivos que comprenden desde discursos hasta sistemas de castigos y recompensas, pasando por edificios y una burocracia especializada, </w:t>
      </w:r>
      <w:r w:rsidRPr="008B5F63">
        <w:rPr>
          <w:rFonts w:ascii="Times New Roman" w:hAnsi="Times New Roman" w:cs="Times New Roman"/>
          <w:sz w:val="24"/>
          <w:szCs w:val="24"/>
        </w:rPr>
        <w:t xml:space="preserve">ha acabado provocando un vuelco en la situación: el profesorado “innovador”, tenido antes por “hereje” en la lógica del campo educativo, asume ahora la condición de “ortodoxo”.   </w:t>
      </w:r>
    </w:p>
    <w:p w:rsidR="003B0205" w:rsidRDefault="003B0205">
      <w:pPr>
        <w:tabs>
          <w:tab w:val="left" w:pos="7155"/>
        </w:tabs>
      </w:pPr>
    </w:p>
    <w:sectPr w:rsidR="003B0205" w:rsidSect="005D22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0B06"/>
    <w:rsid w:val="0001052E"/>
    <w:rsid w:val="00180EAB"/>
    <w:rsid w:val="00267BD3"/>
    <w:rsid w:val="0027542C"/>
    <w:rsid w:val="003413A0"/>
    <w:rsid w:val="003B0205"/>
    <w:rsid w:val="003B0B25"/>
    <w:rsid w:val="004853D7"/>
    <w:rsid w:val="004B79DC"/>
    <w:rsid w:val="00543536"/>
    <w:rsid w:val="005D22C8"/>
    <w:rsid w:val="005F4143"/>
    <w:rsid w:val="006A7E89"/>
    <w:rsid w:val="006E0B06"/>
    <w:rsid w:val="006E1C5B"/>
    <w:rsid w:val="008B5F63"/>
    <w:rsid w:val="00970932"/>
    <w:rsid w:val="00B74ED8"/>
    <w:rsid w:val="00BE4A82"/>
    <w:rsid w:val="00CE28C5"/>
    <w:rsid w:val="00DA0977"/>
    <w:rsid w:val="00DC12B3"/>
    <w:rsid w:val="00DE2A03"/>
    <w:rsid w:val="00EB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2C8"/>
  </w:style>
  <w:style w:type="paragraph" w:styleId="Ttulo1">
    <w:name w:val="heading 1"/>
    <w:basedOn w:val="Normal"/>
    <w:link w:val="Ttulo1Car"/>
    <w:uiPriority w:val="9"/>
    <w:qFormat/>
    <w:rsid w:val="00DC1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020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C12B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02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dro.garcia@uv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PedroGP</dc:creator>
  <cp:lastModifiedBy>PedroGP</cp:lastModifiedBy>
  <cp:revision>12</cp:revision>
  <cp:lastPrinted>2016-10-13T08:14:00Z</cp:lastPrinted>
  <dcterms:created xsi:type="dcterms:W3CDTF">2016-10-07T10:23:00Z</dcterms:created>
  <dcterms:modified xsi:type="dcterms:W3CDTF">2016-10-13T08:17:00Z</dcterms:modified>
</cp:coreProperties>
</file>