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31B" w:rsidRPr="00C851C5" w:rsidRDefault="0032531B" w:rsidP="0032531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DIVERSIDAD </w:t>
      </w:r>
      <w:r w:rsidR="0032140D">
        <w:rPr>
          <w:sz w:val="24"/>
          <w:szCs w:val="24"/>
        </w:rPr>
        <w:t xml:space="preserve">ANTE </w:t>
      </w:r>
      <w:r>
        <w:rPr>
          <w:sz w:val="24"/>
          <w:szCs w:val="24"/>
        </w:rPr>
        <w:t xml:space="preserve">LA </w:t>
      </w:r>
      <w:r w:rsidR="0032140D">
        <w:rPr>
          <w:sz w:val="24"/>
          <w:szCs w:val="24"/>
        </w:rPr>
        <w:t xml:space="preserve">GENTRIFICACIÓN  </w:t>
      </w:r>
      <w:r>
        <w:rPr>
          <w:sz w:val="24"/>
          <w:szCs w:val="24"/>
        </w:rPr>
        <w:t xml:space="preserve">DE </w:t>
      </w:r>
      <w:r w:rsidRPr="00C851C5">
        <w:rPr>
          <w:sz w:val="24"/>
          <w:szCs w:val="24"/>
        </w:rPr>
        <w:t>MERCADOS TRADICIONALES EN MADRID Y QUITO</w:t>
      </w:r>
      <w:r w:rsidR="0032140D">
        <w:rPr>
          <w:sz w:val="24"/>
          <w:szCs w:val="24"/>
        </w:rPr>
        <w:t xml:space="preserve">: ELEMENTOS DE </w:t>
      </w:r>
      <w:r w:rsidR="0032140D" w:rsidRPr="00C851C5">
        <w:rPr>
          <w:sz w:val="24"/>
          <w:szCs w:val="24"/>
        </w:rPr>
        <w:t>ASIMILACIÓN, A</w:t>
      </w:r>
      <w:r w:rsidR="0032140D">
        <w:rPr>
          <w:sz w:val="24"/>
          <w:szCs w:val="24"/>
        </w:rPr>
        <w:t>COMODACIÓN</w:t>
      </w:r>
      <w:r w:rsidR="0032140D" w:rsidRPr="00C851C5">
        <w:rPr>
          <w:sz w:val="24"/>
          <w:szCs w:val="24"/>
        </w:rPr>
        <w:t xml:space="preserve"> Y RESISTENCIA</w:t>
      </w:r>
      <w:r w:rsidRPr="00C851C5">
        <w:rPr>
          <w:sz w:val="24"/>
          <w:szCs w:val="24"/>
        </w:rPr>
        <w:t xml:space="preserve">. </w:t>
      </w:r>
    </w:p>
    <w:p w:rsidR="0032531B" w:rsidRPr="00C851C5" w:rsidRDefault="0032531B" w:rsidP="0032531B">
      <w:pPr>
        <w:spacing w:after="0" w:line="240" w:lineRule="auto"/>
        <w:rPr>
          <w:sz w:val="24"/>
          <w:szCs w:val="24"/>
        </w:rPr>
      </w:pPr>
    </w:p>
    <w:p w:rsidR="0032531B" w:rsidRPr="00C851C5" w:rsidRDefault="0032531B" w:rsidP="0032531B">
      <w:pPr>
        <w:spacing w:after="0" w:line="240" w:lineRule="auto"/>
        <w:rPr>
          <w:sz w:val="24"/>
          <w:szCs w:val="24"/>
        </w:rPr>
      </w:pPr>
      <w:r w:rsidRPr="00C851C5">
        <w:rPr>
          <w:sz w:val="24"/>
          <w:szCs w:val="24"/>
        </w:rPr>
        <w:t xml:space="preserve">Héctor Grad </w:t>
      </w:r>
      <w:proofErr w:type="spellStart"/>
      <w:r w:rsidRPr="00C851C5">
        <w:rPr>
          <w:sz w:val="24"/>
          <w:szCs w:val="24"/>
        </w:rPr>
        <w:t>Fuchsel</w:t>
      </w:r>
      <w:proofErr w:type="spellEnd"/>
    </w:p>
    <w:p w:rsidR="0032531B" w:rsidRPr="00C851C5" w:rsidRDefault="0032531B" w:rsidP="0032531B">
      <w:pPr>
        <w:spacing w:after="0" w:line="240" w:lineRule="auto"/>
        <w:rPr>
          <w:sz w:val="24"/>
          <w:szCs w:val="24"/>
        </w:rPr>
      </w:pPr>
      <w:r w:rsidRPr="00C851C5">
        <w:rPr>
          <w:sz w:val="24"/>
          <w:szCs w:val="24"/>
        </w:rPr>
        <w:t>Departamento de Antropología Social y Pensamiento Filosófico Español</w:t>
      </w:r>
    </w:p>
    <w:p w:rsidR="0032531B" w:rsidRDefault="0032531B" w:rsidP="00C44893">
      <w:pPr>
        <w:spacing w:after="0" w:line="240" w:lineRule="auto"/>
        <w:rPr>
          <w:sz w:val="24"/>
          <w:szCs w:val="24"/>
        </w:rPr>
      </w:pPr>
      <w:r w:rsidRPr="00C851C5">
        <w:rPr>
          <w:sz w:val="24"/>
          <w:szCs w:val="24"/>
        </w:rPr>
        <w:t>Universidad Autónoma de Madrid</w:t>
      </w:r>
    </w:p>
    <w:p w:rsidR="00C44893" w:rsidRDefault="00C44893" w:rsidP="00C44893">
      <w:pPr>
        <w:spacing w:after="0" w:line="240" w:lineRule="auto"/>
        <w:rPr>
          <w:sz w:val="24"/>
          <w:szCs w:val="24"/>
        </w:rPr>
      </w:pPr>
    </w:p>
    <w:p w:rsidR="0032531B" w:rsidRPr="00C851C5" w:rsidRDefault="0032531B" w:rsidP="0032531B">
      <w:pPr>
        <w:rPr>
          <w:sz w:val="24"/>
          <w:szCs w:val="24"/>
        </w:rPr>
      </w:pPr>
      <w:r w:rsidRPr="00C851C5">
        <w:rPr>
          <w:sz w:val="24"/>
          <w:szCs w:val="24"/>
        </w:rPr>
        <w:t xml:space="preserve">PALABRAS CLAVES: mercados tradicionales, </w:t>
      </w:r>
      <w:r>
        <w:rPr>
          <w:sz w:val="24"/>
          <w:szCs w:val="24"/>
        </w:rPr>
        <w:t>urbanismo</w:t>
      </w:r>
      <w:r w:rsidRPr="00C851C5">
        <w:rPr>
          <w:sz w:val="24"/>
          <w:szCs w:val="24"/>
        </w:rPr>
        <w:t xml:space="preserve"> neoliberal, movimientos sociales, </w:t>
      </w:r>
      <w:r>
        <w:rPr>
          <w:sz w:val="24"/>
          <w:szCs w:val="24"/>
        </w:rPr>
        <w:t xml:space="preserve">etnografía urbana, enfoque decolonial </w:t>
      </w:r>
    </w:p>
    <w:p w:rsidR="00F67FD9" w:rsidRPr="00F67FD9" w:rsidRDefault="00F67FD9" w:rsidP="00F67FD9">
      <w:pPr>
        <w:rPr>
          <w:sz w:val="24"/>
          <w:szCs w:val="24"/>
        </w:rPr>
      </w:pPr>
      <w:r w:rsidRPr="00F67FD9">
        <w:rPr>
          <w:sz w:val="24"/>
          <w:szCs w:val="24"/>
        </w:rPr>
        <w:t xml:space="preserve">La transformación de los mercados tradicionales </w:t>
      </w:r>
      <w:r w:rsidR="0017596A">
        <w:rPr>
          <w:sz w:val="24"/>
          <w:szCs w:val="24"/>
        </w:rPr>
        <w:t xml:space="preserve">es a la vez reflejo </w:t>
      </w:r>
      <w:r w:rsidRPr="00F67FD9">
        <w:rPr>
          <w:sz w:val="24"/>
          <w:szCs w:val="24"/>
        </w:rPr>
        <w:t xml:space="preserve">y catalizador de los procesos de </w:t>
      </w:r>
      <w:proofErr w:type="spellStart"/>
      <w:r w:rsidRPr="00F67FD9">
        <w:rPr>
          <w:sz w:val="24"/>
          <w:szCs w:val="24"/>
        </w:rPr>
        <w:t>gentrificación</w:t>
      </w:r>
      <w:proofErr w:type="spellEnd"/>
      <w:r w:rsidRPr="00F67FD9">
        <w:rPr>
          <w:sz w:val="24"/>
          <w:szCs w:val="24"/>
        </w:rPr>
        <w:t xml:space="preserve">. La tendencia </w:t>
      </w:r>
      <w:r>
        <w:rPr>
          <w:sz w:val="24"/>
          <w:szCs w:val="24"/>
        </w:rPr>
        <w:t xml:space="preserve">global </w:t>
      </w:r>
      <w:r w:rsidRPr="00F67FD9">
        <w:rPr>
          <w:sz w:val="24"/>
          <w:szCs w:val="24"/>
        </w:rPr>
        <w:t xml:space="preserve">a la </w:t>
      </w:r>
      <w:proofErr w:type="spellStart"/>
      <w:r w:rsidRPr="00F67FD9">
        <w:rPr>
          <w:sz w:val="24"/>
          <w:szCs w:val="24"/>
        </w:rPr>
        <w:t>comodificación</w:t>
      </w:r>
      <w:proofErr w:type="spellEnd"/>
      <w:r w:rsidRPr="00F67FD9">
        <w:rPr>
          <w:sz w:val="24"/>
          <w:szCs w:val="24"/>
        </w:rPr>
        <w:t xml:space="preserve"> de espacios y prácticas culturales en el urbanismo neoliberal podría sugerir uniformidad en esas transformaciones. Sin embargo, la interacción entre el contexto institucional, los actores y los conflictos sociales implicados condiciona localmente los resultados de esas políticas globales. </w:t>
      </w:r>
    </w:p>
    <w:p w:rsidR="00C81C67" w:rsidRPr="00F67FD9" w:rsidRDefault="0017596A" w:rsidP="00C81C67">
      <w:pPr>
        <w:rPr>
          <w:sz w:val="24"/>
          <w:szCs w:val="24"/>
        </w:rPr>
      </w:pPr>
      <w:r>
        <w:rPr>
          <w:sz w:val="24"/>
          <w:szCs w:val="24"/>
        </w:rPr>
        <w:t>Para observar esas dinámicas, s</w:t>
      </w:r>
      <w:r w:rsidRPr="00F67FD9">
        <w:rPr>
          <w:sz w:val="24"/>
          <w:szCs w:val="24"/>
        </w:rPr>
        <w:t xml:space="preserve">e comparan 10 mercados del centro de Madrid (Maravillas, Antón Martin, San Fernando, San Antón, San Miguel) y Quito (San Roque, </w:t>
      </w:r>
      <w:proofErr w:type="spellStart"/>
      <w:r w:rsidRPr="00F67FD9">
        <w:rPr>
          <w:sz w:val="24"/>
          <w:szCs w:val="24"/>
        </w:rPr>
        <w:t>Chiriyacu</w:t>
      </w:r>
      <w:proofErr w:type="spellEnd"/>
      <w:r w:rsidRPr="00F67FD9">
        <w:rPr>
          <w:sz w:val="24"/>
          <w:szCs w:val="24"/>
        </w:rPr>
        <w:t xml:space="preserve">, Iñaquito, Santa Clara, San Francisco) mediante información recogida por métodos etnográficos y análisis documental. </w:t>
      </w:r>
      <w:r w:rsidR="00D81FCA">
        <w:rPr>
          <w:sz w:val="24"/>
          <w:szCs w:val="24"/>
        </w:rPr>
        <w:t xml:space="preserve">Se propone un marco descriptivo </w:t>
      </w:r>
      <w:r w:rsidR="00C81C67" w:rsidRPr="00F67FD9">
        <w:rPr>
          <w:sz w:val="24"/>
          <w:szCs w:val="24"/>
        </w:rPr>
        <w:t>centra</w:t>
      </w:r>
      <w:r w:rsidR="00D81FCA">
        <w:rPr>
          <w:sz w:val="24"/>
          <w:szCs w:val="24"/>
        </w:rPr>
        <w:t>do</w:t>
      </w:r>
      <w:r w:rsidR="00C81C67" w:rsidRPr="00F67FD9">
        <w:rPr>
          <w:sz w:val="24"/>
          <w:szCs w:val="24"/>
        </w:rPr>
        <w:t xml:space="preserve"> en los tipos de actividades, productos, organización de la actividad, poblaciones objeto de servicio, representación de grupos sociales, movilización social del mercado y su entorno, y vínculo con la comunidad.</w:t>
      </w:r>
    </w:p>
    <w:p w:rsidR="00F67FD9" w:rsidRPr="00F67FD9" w:rsidRDefault="00F67FD9" w:rsidP="00F67FD9">
      <w:pPr>
        <w:rPr>
          <w:sz w:val="24"/>
          <w:szCs w:val="24"/>
        </w:rPr>
      </w:pPr>
      <w:r>
        <w:rPr>
          <w:sz w:val="24"/>
          <w:szCs w:val="24"/>
        </w:rPr>
        <w:t xml:space="preserve">La comparación de las </w:t>
      </w:r>
      <w:r w:rsidRPr="00F67FD9">
        <w:rPr>
          <w:sz w:val="24"/>
          <w:szCs w:val="24"/>
        </w:rPr>
        <w:t>experiencias de transformación de distintos mercados tradicionales urbanos en Europa y América Latina</w:t>
      </w:r>
      <w:r>
        <w:rPr>
          <w:sz w:val="24"/>
          <w:szCs w:val="24"/>
        </w:rPr>
        <w:t xml:space="preserve"> </w:t>
      </w:r>
      <w:r w:rsidR="0017596A">
        <w:rPr>
          <w:sz w:val="24"/>
          <w:szCs w:val="24"/>
        </w:rPr>
        <w:t xml:space="preserve">muestra que distintos </w:t>
      </w:r>
      <w:r w:rsidRPr="00F67FD9">
        <w:rPr>
          <w:sz w:val="24"/>
          <w:szCs w:val="24"/>
        </w:rPr>
        <w:t xml:space="preserve">procesos de asimilación, acomodación/transacción y de resistencia </w:t>
      </w:r>
      <w:r w:rsidR="0017596A">
        <w:rPr>
          <w:sz w:val="24"/>
          <w:szCs w:val="24"/>
        </w:rPr>
        <w:t xml:space="preserve">han </w:t>
      </w:r>
      <w:r w:rsidRPr="00F67FD9">
        <w:rPr>
          <w:sz w:val="24"/>
          <w:szCs w:val="24"/>
        </w:rPr>
        <w:t>generado modelos diversos de modernización, de relación con los mercados locales y globales, y con el entorno social.</w:t>
      </w:r>
      <w:r w:rsidR="00C81C67">
        <w:rPr>
          <w:sz w:val="24"/>
          <w:szCs w:val="24"/>
        </w:rPr>
        <w:t xml:space="preserve"> E</w:t>
      </w:r>
      <w:r w:rsidRPr="00F67FD9">
        <w:rPr>
          <w:sz w:val="24"/>
          <w:szCs w:val="24"/>
        </w:rPr>
        <w:t>n Madrid y Quito</w:t>
      </w:r>
      <w:r w:rsidR="00C81C67">
        <w:rPr>
          <w:sz w:val="24"/>
          <w:szCs w:val="24"/>
        </w:rPr>
        <w:t xml:space="preserve"> se </w:t>
      </w:r>
      <w:r w:rsidRPr="00F67FD9">
        <w:rPr>
          <w:sz w:val="24"/>
          <w:szCs w:val="24"/>
        </w:rPr>
        <w:t xml:space="preserve">han producido tanto centros gourmet orientados al consumidor global, como híbridos que incorporan nuevas funciones y poblaciones de usuarios a las tradicionales, y  hasta mercados que renuevan, sus funciones y relaciones sociales tradicionales. Las resistencias exitosas aparecen vinculadas a movilización interna, relación con los movimientos sociales del entorno, y contexto socio-político local y general. </w:t>
      </w:r>
    </w:p>
    <w:p w:rsidR="00F67FD9" w:rsidRPr="00F67FD9" w:rsidRDefault="00F67FD9" w:rsidP="00F67FD9">
      <w:pPr>
        <w:rPr>
          <w:sz w:val="24"/>
          <w:szCs w:val="24"/>
        </w:rPr>
      </w:pPr>
      <w:r w:rsidRPr="00F67FD9">
        <w:rPr>
          <w:sz w:val="24"/>
          <w:szCs w:val="24"/>
        </w:rPr>
        <w:t xml:space="preserve">Se discuten las </w:t>
      </w:r>
      <w:r w:rsidR="00D81FCA">
        <w:rPr>
          <w:sz w:val="24"/>
          <w:szCs w:val="24"/>
        </w:rPr>
        <w:t>implicaciones teóricas y aplicadas de estas experiencias para una antropología urbana de orientación pública y para propuestas alternativa</w:t>
      </w:r>
      <w:r w:rsidRPr="00F67FD9">
        <w:rPr>
          <w:sz w:val="24"/>
          <w:szCs w:val="24"/>
        </w:rPr>
        <w:t xml:space="preserve">s </w:t>
      </w:r>
      <w:r w:rsidR="00D81FCA">
        <w:rPr>
          <w:sz w:val="24"/>
          <w:szCs w:val="24"/>
        </w:rPr>
        <w:t xml:space="preserve">en el marco de </w:t>
      </w:r>
      <w:r w:rsidRPr="00F67FD9">
        <w:rPr>
          <w:sz w:val="24"/>
          <w:szCs w:val="24"/>
        </w:rPr>
        <w:t xml:space="preserve">proyectos post-neoliberales. Se </w:t>
      </w:r>
      <w:r w:rsidR="00D81FCA">
        <w:rPr>
          <w:sz w:val="24"/>
          <w:szCs w:val="24"/>
        </w:rPr>
        <w:t xml:space="preserve">destaca </w:t>
      </w:r>
      <w:r w:rsidRPr="00F67FD9">
        <w:rPr>
          <w:sz w:val="24"/>
          <w:szCs w:val="24"/>
        </w:rPr>
        <w:t>la necesidad de prestar atención a la dialéctica entre funciones económicas, sociales y culturales</w:t>
      </w:r>
      <w:r w:rsidR="00D81FCA">
        <w:rPr>
          <w:sz w:val="24"/>
          <w:szCs w:val="24"/>
        </w:rPr>
        <w:t xml:space="preserve"> y</w:t>
      </w:r>
      <w:r w:rsidRPr="00F67FD9">
        <w:rPr>
          <w:sz w:val="24"/>
          <w:szCs w:val="24"/>
        </w:rPr>
        <w:t xml:space="preserve"> de un enfoque decolonial de los mercados.</w:t>
      </w:r>
      <w:r w:rsidR="00D81FCA">
        <w:rPr>
          <w:sz w:val="24"/>
          <w:szCs w:val="24"/>
        </w:rPr>
        <w:t xml:space="preserve"> </w:t>
      </w:r>
    </w:p>
    <w:p w:rsidR="00F67FD9" w:rsidRDefault="00F67FD9" w:rsidP="00F67FD9">
      <w:pPr>
        <w:rPr>
          <w:sz w:val="24"/>
          <w:szCs w:val="24"/>
        </w:rPr>
      </w:pPr>
    </w:p>
    <w:sectPr w:rsidR="00F67FD9" w:rsidSect="00EF60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2531B"/>
    <w:rsid w:val="0017596A"/>
    <w:rsid w:val="0032140D"/>
    <w:rsid w:val="0032531B"/>
    <w:rsid w:val="00537F1C"/>
    <w:rsid w:val="00C44893"/>
    <w:rsid w:val="00C81C67"/>
    <w:rsid w:val="00D81FCA"/>
    <w:rsid w:val="00EF60B8"/>
    <w:rsid w:val="00F67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31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382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Hector Grad</dc:creator>
  <cp:lastModifiedBy>Hector Grad</cp:lastModifiedBy>
  <cp:revision>2</cp:revision>
  <dcterms:created xsi:type="dcterms:W3CDTF">2016-10-15T15:30:00Z</dcterms:created>
  <dcterms:modified xsi:type="dcterms:W3CDTF">2016-10-15T18:47:00Z</dcterms:modified>
</cp:coreProperties>
</file>