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DF01B" w14:textId="1D2C8DCB" w:rsidR="006D4F11" w:rsidRPr="006D4F11" w:rsidRDefault="006D4F11" w:rsidP="000F5702">
      <w:pPr>
        <w:spacing w:after="0" w:line="240" w:lineRule="auto"/>
        <w:jc w:val="both"/>
        <w:rPr>
          <w:rFonts w:ascii="Garamond" w:eastAsia="Times New Roman" w:hAnsi="Garamond" w:cs="Arial"/>
          <w:b/>
          <w:color w:val="000000"/>
          <w:sz w:val="24"/>
          <w:szCs w:val="24"/>
          <w:lang w:eastAsia="es-ES"/>
        </w:rPr>
      </w:pPr>
      <w:r w:rsidRPr="006D4F11">
        <w:rPr>
          <w:rFonts w:ascii="Garamond" w:eastAsia="Times New Roman" w:hAnsi="Garamond" w:cs="Arial"/>
          <w:b/>
          <w:color w:val="000000"/>
          <w:sz w:val="24"/>
          <w:szCs w:val="24"/>
          <w:lang w:eastAsia="es-ES"/>
        </w:rPr>
        <w:t>¿CÓMO DE EXTRAÑO VEO AL OTRO PARA PO</w:t>
      </w:r>
      <w:r w:rsidR="008C18CE">
        <w:rPr>
          <w:rFonts w:ascii="Garamond" w:eastAsia="Times New Roman" w:hAnsi="Garamond" w:cs="Arial"/>
          <w:b/>
          <w:color w:val="000000"/>
          <w:sz w:val="24"/>
          <w:szCs w:val="24"/>
          <w:lang w:eastAsia="es-ES"/>
        </w:rPr>
        <w:t>DER CONSIDERARLO UN INMIGRANTE?</w:t>
      </w:r>
      <w:r w:rsidRPr="006D4F11">
        <w:rPr>
          <w:rFonts w:ascii="Garamond" w:eastAsia="Times New Roman" w:hAnsi="Garamond" w:cs="Arial"/>
          <w:b/>
          <w:color w:val="000000"/>
          <w:sz w:val="24"/>
          <w:szCs w:val="24"/>
          <w:lang w:eastAsia="es-ES"/>
        </w:rPr>
        <w:t xml:space="preserve"> REFLEXIONES SOBRE CATEGORÍAS Y ETIQUETAJE DESDE LA ANTROPOLOGÍA</w:t>
      </w:r>
    </w:p>
    <w:p w14:paraId="7D510576" w14:textId="77777777" w:rsidR="006D4F11" w:rsidRDefault="006D4F11" w:rsidP="000F5702">
      <w:pPr>
        <w:spacing w:after="0" w:line="24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es-ES"/>
        </w:rPr>
      </w:pPr>
    </w:p>
    <w:p w14:paraId="284B6EEA" w14:textId="77777777" w:rsidR="006D4F11" w:rsidRPr="006D4F11" w:rsidRDefault="006D4F11" w:rsidP="000F5702">
      <w:pPr>
        <w:spacing w:after="0" w:line="240" w:lineRule="auto"/>
        <w:jc w:val="both"/>
        <w:rPr>
          <w:rFonts w:ascii="Garamond" w:eastAsia="Times New Roman" w:hAnsi="Garamond" w:cs="Arial"/>
          <w:b/>
          <w:color w:val="000000"/>
          <w:sz w:val="24"/>
          <w:szCs w:val="24"/>
          <w:lang w:eastAsia="es-ES"/>
        </w:rPr>
      </w:pPr>
      <w:r w:rsidRPr="006D4F11">
        <w:rPr>
          <w:rFonts w:ascii="Garamond" w:eastAsia="Times New Roman" w:hAnsi="Garamond" w:cs="Arial"/>
          <w:b/>
          <w:color w:val="000000"/>
          <w:sz w:val="24"/>
          <w:szCs w:val="24"/>
          <w:lang w:eastAsia="es-ES"/>
        </w:rPr>
        <w:t xml:space="preserve">Laura </w:t>
      </w:r>
      <w:proofErr w:type="spellStart"/>
      <w:r w:rsidRPr="006D4F11">
        <w:rPr>
          <w:rFonts w:ascii="Garamond" w:eastAsia="Times New Roman" w:hAnsi="Garamond" w:cs="Arial"/>
          <w:b/>
          <w:color w:val="000000"/>
          <w:sz w:val="24"/>
          <w:szCs w:val="24"/>
          <w:lang w:eastAsia="es-ES"/>
        </w:rPr>
        <w:t>Herruzo</w:t>
      </w:r>
      <w:proofErr w:type="spellEnd"/>
      <w:r w:rsidRPr="006D4F11">
        <w:rPr>
          <w:rFonts w:ascii="Garamond" w:eastAsia="Times New Roman" w:hAnsi="Garamond" w:cs="Arial"/>
          <w:b/>
          <w:color w:val="000000"/>
          <w:sz w:val="24"/>
          <w:szCs w:val="24"/>
          <w:lang w:eastAsia="es-ES"/>
        </w:rPr>
        <w:t xml:space="preserve"> Carmona</w:t>
      </w:r>
    </w:p>
    <w:p w14:paraId="70EAC1F9" w14:textId="77777777" w:rsidR="006D4F11" w:rsidRDefault="006D4F11" w:rsidP="000F5702">
      <w:pPr>
        <w:spacing w:after="0" w:line="24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es-ES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eastAsia="es-ES"/>
        </w:rPr>
        <w:t>Instituto de Migraciones, Universidad de Granada</w:t>
      </w:r>
    </w:p>
    <w:p w14:paraId="79206BC8" w14:textId="77777777" w:rsidR="006D4F11" w:rsidRDefault="006D4F11" w:rsidP="000F5702">
      <w:pPr>
        <w:spacing w:after="0" w:line="24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es-ES"/>
        </w:rPr>
      </w:pPr>
    </w:p>
    <w:p w14:paraId="6BD3E172" w14:textId="68E40314" w:rsidR="00E429C9" w:rsidRPr="006D4F11" w:rsidRDefault="00E429C9" w:rsidP="000F5702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es-ES"/>
        </w:rPr>
      </w:pPr>
      <w:r w:rsidRPr="006D4F11">
        <w:rPr>
          <w:rFonts w:ascii="Garamond" w:eastAsia="Times New Roman" w:hAnsi="Garamond" w:cs="Arial"/>
          <w:color w:val="000000"/>
          <w:sz w:val="24"/>
          <w:szCs w:val="24"/>
          <w:lang w:eastAsia="es-ES"/>
        </w:rPr>
        <w:t xml:space="preserve">Curse una asignatura en el Grado de Antropología Social que se denominaba Migraciones, Interculturalidad y Gestión de la diferencia. El trabajo en dicha asignatura se centraba en hacer cuatro entrevistas, al menos, a una persona inmigrante y con ellas construir un relato biográfico del sujeto entrevistado. Después, una vez elaborado el relato, este debería ser puesto en diálogo con las teorías explicativas de las migraciones y tratar de producir un resultado que ilustrara cuándo y cómo "mi relato" se acercaba a las teorías o cuanto </w:t>
      </w:r>
      <w:r w:rsidR="00911770" w:rsidRPr="006D4F11">
        <w:rPr>
          <w:rFonts w:ascii="Garamond" w:eastAsia="Times New Roman" w:hAnsi="Garamond" w:cs="Arial"/>
          <w:color w:val="000000"/>
          <w:sz w:val="24"/>
          <w:szCs w:val="24"/>
          <w:lang w:eastAsia="es-ES"/>
        </w:rPr>
        <w:t>la teoría servía</w:t>
      </w:r>
      <w:r w:rsidRPr="006D4F11">
        <w:rPr>
          <w:rFonts w:ascii="Garamond" w:eastAsia="Times New Roman" w:hAnsi="Garamond" w:cs="Arial"/>
          <w:color w:val="000000"/>
          <w:sz w:val="24"/>
          <w:szCs w:val="24"/>
          <w:lang w:eastAsia="es-ES"/>
        </w:rPr>
        <w:t xml:space="preserve"> para interpretar "mi relato". Pero en todo el proceso me surgieron no pocas preguntas</w:t>
      </w:r>
      <w:r w:rsidR="006D4F11">
        <w:rPr>
          <w:rFonts w:ascii="Garamond" w:eastAsia="Times New Roman" w:hAnsi="Garamond" w:cs="Arial"/>
          <w:color w:val="000000"/>
          <w:sz w:val="24"/>
          <w:szCs w:val="24"/>
          <w:lang w:eastAsia="es-ES"/>
        </w:rPr>
        <w:t>.</w:t>
      </w:r>
    </w:p>
    <w:p w14:paraId="3A7CD41E" w14:textId="77777777" w:rsidR="006D4F11" w:rsidRPr="006D4F11" w:rsidRDefault="006D4F11" w:rsidP="006D4F1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es-ES"/>
        </w:rPr>
      </w:pPr>
    </w:p>
    <w:p w14:paraId="61E2468F" w14:textId="554C2E26" w:rsidR="006E4008" w:rsidRDefault="00E429C9" w:rsidP="006D4F11">
      <w:pPr>
        <w:spacing w:after="0" w:line="24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es-ES"/>
        </w:rPr>
      </w:pPr>
      <w:r w:rsidRPr="006D4F11">
        <w:rPr>
          <w:rFonts w:ascii="Garamond" w:eastAsia="Times New Roman" w:hAnsi="Garamond" w:cs="Arial"/>
          <w:color w:val="000000"/>
          <w:sz w:val="24"/>
          <w:szCs w:val="24"/>
          <w:lang w:eastAsia="es-ES"/>
        </w:rPr>
        <w:t>En una primera lluvia de ideas nos percatamos de nuestra imagen colectiva de inmigrante: alguien con rasgos no europeos, del norte de África, principalmente, era la primera opción</w:t>
      </w:r>
      <w:r w:rsidR="006D4F11">
        <w:rPr>
          <w:rFonts w:ascii="Garamond" w:eastAsia="Times New Roman" w:hAnsi="Garamond" w:cs="Arial"/>
          <w:color w:val="000000"/>
          <w:sz w:val="24"/>
          <w:szCs w:val="24"/>
          <w:lang w:eastAsia="es-ES"/>
        </w:rPr>
        <w:t>. Entendiéndose las migraciones</w:t>
      </w:r>
      <w:r w:rsidRPr="006D4F11">
        <w:rPr>
          <w:rFonts w:ascii="Garamond" w:eastAsia="Times New Roman" w:hAnsi="Garamond" w:cs="Arial"/>
          <w:color w:val="000000"/>
          <w:sz w:val="24"/>
          <w:szCs w:val="24"/>
          <w:lang w:eastAsia="es-ES"/>
        </w:rPr>
        <w:t xml:space="preserve"> como el desplazamiento de población que se produce desde un lugar de origen a otro destino y lleva consigo un cambio de la residencia habitual, vemos como lo más complicado fue la designación de quién era o no inmigrante, encontrar a una persona que se identificará en esos parámetros. Uno de los debates que surgió </w:t>
      </w:r>
      <w:r w:rsidR="008C18CE">
        <w:rPr>
          <w:rFonts w:ascii="Garamond" w:eastAsia="Times New Roman" w:hAnsi="Garamond" w:cs="Arial"/>
          <w:color w:val="000000"/>
          <w:sz w:val="24"/>
          <w:szCs w:val="24"/>
          <w:lang w:eastAsia="es-ES"/>
        </w:rPr>
        <w:t xml:space="preserve">fue </w:t>
      </w:r>
      <w:r w:rsidRPr="006D4F11">
        <w:rPr>
          <w:rFonts w:ascii="Garamond" w:eastAsia="Times New Roman" w:hAnsi="Garamond" w:cs="Arial"/>
          <w:color w:val="000000"/>
          <w:sz w:val="24"/>
          <w:szCs w:val="24"/>
          <w:lang w:eastAsia="es-ES"/>
        </w:rPr>
        <w:t xml:space="preserve">a cómo nombrar inmigrante. Entonces, en el momento previo a la </w:t>
      </w:r>
      <w:r w:rsidR="008C18CE">
        <w:rPr>
          <w:rFonts w:ascii="Garamond" w:eastAsia="Times New Roman" w:hAnsi="Garamond" w:cs="Arial"/>
          <w:color w:val="000000"/>
          <w:sz w:val="24"/>
          <w:szCs w:val="24"/>
          <w:lang w:eastAsia="es-ES"/>
        </w:rPr>
        <w:t>elección tuvimos que cuestionarn</w:t>
      </w:r>
      <w:bookmarkStart w:id="0" w:name="_GoBack"/>
      <w:bookmarkEnd w:id="0"/>
      <w:r w:rsidRPr="006D4F11">
        <w:rPr>
          <w:rFonts w:ascii="Garamond" w:eastAsia="Times New Roman" w:hAnsi="Garamond" w:cs="Arial"/>
          <w:color w:val="000000"/>
          <w:sz w:val="24"/>
          <w:szCs w:val="24"/>
          <w:lang w:eastAsia="es-ES"/>
        </w:rPr>
        <w:t>os realmente nuestra percepción del otro, ¿cómo de extraño veo al otro para poder considerarlo un inmigrante?, ¿cómo establecer la categoría a una persona que entra dentro de los parámetros, pero que ella misma no se identifica como tal?</w:t>
      </w:r>
    </w:p>
    <w:p w14:paraId="40B9B69D" w14:textId="77777777" w:rsidR="006D4F11" w:rsidRDefault="006D4F11" w:rsidP="006D4F11">
      <w:pPr>
        <w:spacing w:after="0" w:line="24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es-ES"/>
        </w:rPr>
      </w:pPr>
    </w:p>
    <w:p w14:paraId="2F9F76A2" w14:textId="77777777" w:rsidR="006D4F11" w:rsidRPr="006D4F11" w:rsidRDefault="006D4F11" w:rsidP="006D4F11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es-ES"/>
        </w:rPr>
      </w:pPr>
      <w:r>
        <w:rPr>
          <w:rFonts w:ascii="Garamond" w:eastAsia="Times New Roman" w:hAnsi="Garamond" w:cs="Arial"/>
          <w:color w:val="000000"/>
          <w:sz w:val="24"/>
          <w:szCs w:val="24"/>
          <w:lang w:eastAsia="es-ES"/>
        </w:rPr>
        <w:t>La pretensión de esta comunicación es reflexionar sobre como mis subjetividades sobre los sujetos con los que estudiados los fenómenos sociales condicionan los propios objetos hasta construirse un conocimiento “sesgado”.</w:t>
      </w:r>
    </w:p>
    <w:sectPr w:rsidR="006D4F11" w:rsidRPr="006D4F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C3A"/>
    <w:rsid w:val="000B5A01"/>
    <w:rsid w:val="000F5702"/>
    <w:rsid w:val="00117946"/>
    <w:rsid w:val="00291164"/>
    <w:rsid w:val="006D4F11"/>
    <w:rsid w:val="006E4008"/>
    <w:rsid w:val="00722C3A"/>
    <w:rsid w:val="008C18CE"/>
    <w:rsid w:val="00911770"/>
    <w:rsid w:val="009B3017"/>
    <w:rsid w:val="00E429C9"/>
    <w:rsid w:val="00F2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84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2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2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</dc:creator>
  <cp:lastModifiedBy>IGNACIO</cp:lastModifiedBy>
  <cp:revision>4</cp:revision>
  <cp:lastPrinted>2016-10-15T02:05:00Z</cp:lastPrinted>
  <dcterms:created xsi:type="dcterms:W3CDTF">2016-10-15T02:05:00Z</dcterms:created>
  <dcterms:modified xsi:type="dcterms:W3CDTF">2016-10-15T02:06:00Z</dcterms:modified>
</cp:coreProperties>
</file>