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0AFAE" w14:textId="77777777" w:rsidR="005F1097" w:rsidRDefault="005F1097" w:rsidP="00A32F06">
      <w:pPr>
        <w:spacing w:after="120"/>
        <w:jc w:val="both"/>
        <w:rPr>
          <w:rFonts w:ascii="Times New Roman" w:hAnsi="Times New Roman" w:cs="Times New Roman"/>
          <w:b/>
          <w:i/>
          <w:lang w:val="es-ES"/>
        </w:rPr>
      </w:pPr>
      <w:r w:rsidRPr="005F1097">
        <w:rPr>
          <w:rFonts w:ascii="Times New Roman" w:hAnsi="Times New Roman" w:cs="Times New Roman"/>
          <w:b/>
          <w:i/>
          <w:lang w:val="es-ES"/>
        </w:rPr>
        <w:t xml:space="preserve">Segregación espacial, movilidad y proyectos estrella en el Golfo Arábigo. </w:t>
      </w:r>
    </w:p>
    <w:p w14:paraId="0CA07A82" w14:textId="77777777" w:rsidR="005F1097" w:rsidRDefault="005F1097" w:rsidP="00A32F06">
      <w:pPr>
        <w:spacing w:after="120"/>
        <w:jc w:val="both"/>
        <w:rPr>
          <w:rFonts w:ascii="Times New Roman" w:hAnsi="Times New Roman" w:cs="Times New Roman"/>
          <w:b/>
          <w:i/>
          <w:lang w:val="es-ES"/>
        </w:rPr>
      </w:pPr>
      <w:r w:rsidRPr="005F1097">
        <w:rPr>
          <w:rFonts w:ascii="Times New Roman" w:hAnsi="Times New Roman" w:cs="Times New Roman"/>
          <w:b/>
          <w:i/>
          <w:lang w:val="es-ES"/>
        </w:rPr>
        <w:t>La implementación de la red de metro en Doha, Qatar</w:t>
      </w:r>
      <w:r>
        <w:rPr>
          <w:rFonts w:ascii="Times New Roman" w:hAnsi="Times New Roman" w:cs="Times New Roman"/>
          <w:b/>
          <w:i/>
          <w:lang w:val="es-ES"/>
        </w:rPr>
        <w:t>.</w:t>
      </w:r>
      <w:bookmarkStart w:id="0" w:name="_GoBack"/>
      <w:bookmarkEnd w:id="0"/>
    </w:p>
    <w:p w14:paraId="03888DF8" w14:textId="77777777" w:rsidR="00A32F06" w:rsidRDefault="00A32F06" w:rsidP="00A32F06">
      <w:pPr>
        <w:spacing w:after="120"/>
        <w:jc w:val="both"/>
        <w:rPr>
          <w:rFonts w:ascii="Times New Roman" w:hAnsi="Times New Roman" w:cs="Times New Roman"/>
        </w:rPr>
      </w:pPr>
      <w:r>
        <w:rPr>
          <w:rFonts w:ascii="Times New Roman" w:hAnsi="Times New Roman" w:cs="Times New Roman"/>
        </w:rPr>
        <w:t>Marta Contijoch Torres</w:t>
      </w:r>
    </w:p>
    <w:p w14:paraId="28BB142C" w14:textId="77777777" w:rsidR="00A32F06" w:rsidRPr="00870B19" w:rsidRDefault="00A32F06" w:rsidP="00A32F06">
      <w:pPr>
        <w:spacing w:after="120"/>
        <w:jc w:val="both"/>
        <w:rPr>
          <w:rFonts w:ascii="Times New Roman" w:hAnsi="Times New Roman" w:cs="Times New Roman"/>
          <w:i/>
        </w:rPr>
      </w:pPr>
      <w:proofErr w:type="spellStart"/>
      <w:r w:rsidRPr="00870B19">
        <w:rPr>
          <w:rFonts w:ascii="Times New Roman" w:hAnsi="Times New Roman" w:cs="Times New Roman"/>
          <w:i/>
        </w:rPr>
        <w:t>Observatori</w:t>
      </w:r>
      <w:proofErr w:type="spellEnd"/>
      <w:r w:rsidRPr="00870B19">
        <w:rPr>
          <w:rFonts w:ascii="Times New Roman" w:hAnsi="Times New Roman" w:cs="Times New Roman"/>
          <w:i/>
        </w:rPr>
        <w:t xml:space="preserve"> </w:t>
      </w:r>
      <w:proofErr w:type="spellStart"/>
      <w:r w:rsidRPr="00870B19">
        <w:rPr>
          <w:rFonts w:ascii="Times New Roman" w:hAnsi="Times New Roman" w:cs="Times New Roman"/>
          <w:i/>
        </w:rPr>
        <w:t>d’Antropologia</w:t>
      </w:r>
      <w:proofErr w:type="spellEnd"/>
      <w:r w:rsidRPr="00870B19">
        <w:rPr>
          <w:rFonts w:ascii="Times New Roman" w:hAnsi="Times New Roman" w:cs="Times New Roman"/>
          <w:i/>
        </w:rPr>
        <w:t xml:space="preserve"> del </w:t>
      </w:r>
      <w:proofErr w:type="spellStart"/>
      <w:r w:rsidRPr="00870B19">
        <w:rPr>
          <w:rFonts w:ascii="Times New Roman" w:hAnsi="Times New Roman" w:cs="Times New Roman"/>
          <w:i/>
        </w:rPr>
        <w:t>Conflicte</w:t>
      </w:r>
      <w:proofErr w:type="spellEnd"/>
      <w:r w:rsidRPr="00870B19">
        <w:rPr>
          <w:rFonts w:ascii="Times New Roman" w:hAnsi="Times New Roman" w:cs="Times New Roman"/>
          <w:i/>
        </w:rPr>
        <w:t xml:space="preserve"> </w:t>
      </w:r>
      <w:proofErr w:type="spellStart"/>
      <w:r w:rsidRPr="00870B19">
        <w:rPr>
          <w:rFonts w:ascii="Times New Roman" w:hAnsi="Times New Roman" w:cs="Times New Roman"/>
          <w:i/>
        </w:rPr>
        <w:t>Urbà</w:t>
      </w:r>
      <w:proofErr w:type="spellEnd"/>
      <w:r w:rsidRPr="00870B19">
        <w:rPr>
          <w:rFonts w:ascii="Times New Roman" w:hAnsi="Times New Roman" w:cs="Times New Roman"/>
          <w:i/>
        </w:rPr>
        <w:t xml:space="preserve"> (OACU)</w:t>
      </w:r>
      <w:r>
        <w:rPr>
          <w:rFonts w:ascii="Times New Roman" w:hAnsi="Times New Roman" w:cs="Times New Roman"/>
          <w:i/>
        </w:rPr>
        <w:t>-</w:t>
      </w:r>
      <w:proofErr w:type="spellStart"/>
      <w:r>
        <w:rPr>
          <w:rFonts w:ascii="Times New Roman" w:hAnsi="Times New Roman" w:cs="Times New Roman"/>
          <w:i/>
        </w:rPr>
        <w:t>Universitat</w:t>
      </w:r>
      <w:proofErr w:type="spellEnd"/>
      <w:r>
        <w:rPr>
          <w:rFonts w:ascii="Times New Roman" w:hAnsi="Times New Roman" w:cs="Times New Roman"/>
          <w:i/>
        </w:rPr>
        <w:t xml:space="preserve"> de Barcelona (UB)</w:t>
      </w:r>
    </w:p>
    <w:p w14:paraId="2C01B4DA" w14:textId="77777777" w:rsidR="00A32F06" w:rsidRDefault="00A32F06" w:rsidP="00A32F06">
      <w:pPr>
        <w:spacing w:after="240"/>
        <w:jc w:val="both"/>
        <w:rPr>
          <w:rFonts w:ascii="Times New Roman" w:hAnsi="Times New Roman" w:cs="Times New Roman"/>
          <w:i/>
        </w:rPr>
      </w:pPr>
      <w:hyperlink r:id="rId5" w:history="1">
        <w:r w:rsidRPr="00870B19">
          <w:rPr>
            <w:rStyle w:val="Hipervnculo"/>
            <w:rFonts w:ascii="Times New Roman" w:hAnsi="Times New Roman" w:cs="Times New Roman"/>
            <w:i/>
          </w:rPr>
          <w:t>martacontijoch@gmail.com</w:t>
        </w:r>
      </w:hyperlink>
    </w:p>
    <w:p w14:paraId="5883D301" w14:textId="77777777" w:rsidR="00A32F06" w:rsidRPr="00F03BCF" w:rsidRDefault="00A32F06" w:rsidP="00A32F06">
      <w:pPr>
        <w:spacing w:after="120"/>
        <w:jc w:val="both"/>
        <w:rPr>
          <w:rFonts w:ascii="Times New Roman" w:hAnsi="Times New Roman" w:cs="Times New Roman"/>
        </w:rPr>
      </w:pPr>
      <w:r>
        <w:rPr>
          <w:rFonts w:ascii="Times New Roman" w:hAnsi="Times New Roman" w:cs="Times New Roman"/>
        </w:rPr>
        <w:t xml:space="preserve">Siguiendo la estela de desarrollo urbano de algunas de las grandes capitales de la Península Arábiga, fundamentalmente de </w:t>
      </w:r>
      <w:proofErr w:type="spellStart"/>
      <w:r>
        <w:rPr>
          <w:rFonts w:ascii="Times New Roman" w:hAnsi="Times New Roman" w:cs="Times New Roman"/>
        </w:rPr>
        <w:t>Dubai</w:t>
      </w:r>
      <w:proofErr w:type="spellEnd"/>
      <w:r>
        <w:rPr>
          <w:rFonts w:ascii="Times New Roman" w:hAnsi="Times New Roman" w:cs="Times New Roman"/>
        </w:rPr>
        <w:t>, Doha, la capital del emirato de Qatar, ha asumido idéntica estrategia de convertir el capitalismo en gran espectáculo urbanístico, a partir de un crecimiento sustentado en la importación masiva de mano de obra y un entramado urbano resultado de estrategias de inversión, desregulación y especulación. Convertida toda ella en aparador y decorado del centro de conexión global que pretende encarnar, a la vez cosmopolita y fiel a la “tradición”, es en estos términos que debemos leer su agenda de crecimiento urbano, basada en grandes proyectos estrella y en una fragmentación espacial que debe ponerse en paralelo con los análogos procesos de exclusión social que está conociendo la capital qatarí. En una ciudad que parece haber llevado el despotismo del automóvil a su propio delirio, cabe leer la implementación de la red de metro no sólo como una respuesta a la congestión de sus principales arterias y a una demanda de una red pública de transporte, sino, también, como elemento crucial en el espectáculo de la ciudad que Doha quiere representar.</w:t>
      </w:r>
    </w:p>
    <w:p w14:paraId="5442B5F6" w14:textId="77777777" w:rsidR="00AB70A5" w:rsidRDefault="00AB70A5"/>
    <w:sectPr w:rsidR="00AB70A5" w:rsidSect="00AB70A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F06"/>
    <w:rsid w:val="005F1097"/>
    <w:rsid w:val="00A32F06"/>
    <w:rsid w:val="00AB70A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96B5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06"/>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2F0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06"/>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2F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rtacontijoch@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1260</Characters>
  <Application>Microsoft Macintosh Word</Application>
  <DocSecurity>0</DocSecurity>
  <Lines>10</Lines>
  <Paragraphs>2</Paragraphs>
  <ScaleCrop>false</ScaleCrop>
  <Company/>
  <LinksUpToDate>false</LinksUpToDate>
  <CharactersWithSpaces>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Contijoch </dc:creator>
  <cp:keywords/>
  <dc:description/>
  <cp:lastModifiedBy>Marta Contijoch </cp:lastModifiedBy>
  <cp:revision>2</cp:revision>
  <dcterms:created xsi:type="dcterms:W3CDTF">2016-10-13T18:10:00Z</dcterms:created>
  <dcterms:modified xsi:type="dcterms:W3CDTF">2016-10-13T18:11:00Z</dcterms:modified>
</cp:coreProperties>
</file>