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C8576" w14:textId="56304DF6" w:rsidR="009B7396" w:rsidRPr="005474E0" w:rsidRDefault="0034113C" w:rsidP="00167DBB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  <w:lang w:val="es-ES"/>
        </w:rPr>
      </w:pPr>
      <w:r w:rsidRPr="005474E0">
        <w:rPr>
          <w:rFonts w:ascii="Helvetica" w:hAnsi="Helvetica" w:cs="Helvetica"/>
          <w:i/>
          <w:lang w:val="es-ES"/>
        </w:rPr>
        <w:t>Abriendo ventanas para ver y entender. Etnografía en colaboración con niños, niñas y adolescentes en México y Argentina</w:t>
      </w:r>
    </w:p>
    <w:p w14:paraId="7969DCC8" w14:textId="77777777" w:rsidR="00CC6D1E" w:rsidRDefault="00CC6D1E" w:rsidP="00CC6D1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6D47EC80" w14:textId="2AF2EAE6" w:rsidR="00CC6D1E" w:rsidRPr="000F7E9B" w:rsidRDefault="00CC6D1E" w:rsidP="00CC6D1E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lang w:val="es-ES"/>
        </w:rPr>
      </w:pPr>
      <w:r w:rsidRPr="000F7E9B">
        <w:rPr>
          <w:rFonts w:ascii="Helvetica" w:hAnsi="Helvetica" w:cs="Helvetica"/>
          <w:lang w:val="es-ES"/>
        </w:rPr>
        <w:t xml:space="preserve">La propuesta que presentamos es el resultado de un intercambio que mantenemos las autoras, desde hace varios años, sobre nuestras investigaciones etnográficas con niños, niñas y adolescentes en contextos educativos en México y en Argentina. Estos intercambios forman parte de un </w:t>
      </w:r>
      <w:proofErr w:type="gramStart"/>
      <w:r w:rsidRPr="000F7E9B">
        <w:rPr>
          <w:rFonts w:ascii="Helvetica" w:hAnsi="Helvetica" w:cs="Helvetica"/>
          <w:lang w:val="es-ES"/>
        </w:rPr>
        <w:t>debate  extendido</w:t>
      </w:r>
      <w:proofErr w:type="gramEnd"/>
      <w:r w:rsidRPr="000F7E9B">
        <w:rPr>
          <w:rFonts w:ascii="Helvetica" w:hAnsi="Helvetica" w:cs="Helvetica"/>
          <w:lang w:val="es-ES"/>
        </w:rPr>
        <w:t xml:space="preserve"> sobre las relaciones entre los y las investigadores e interlocutores; la participación, la colaboración y la co-valencia (Fabian, 2007) como dimensiones centrales en la producción de conocimiento antropológico en etnografías con niños, niñas y adolescentes. En específico exploramos cómo la agencia de los </w:t>
      </w:r>
      <w:proofErr w:type="gramStart"/>
      <w:r w:rsidRPr="000F7E9B">
        <w:rPr>
          <w:rFonts w:ascii="Helvetica" w:hAnsi="Helvetica" w:cs="Helvetica"/>
          <w:lang w:val="es-ES"/>
        </w:rPr>
        <w:t>niños,  niñas</w:t>
      </w:r>
      <w:proofErr w:type="gramEnd"/>
      <w:r w:rsidRPr="000F7E9B">
        <w:rPr>
          <w:rFonts w:ascii="Helvetica" w:hAnsi="Helvetica" w:cs="Helvetica"/>
          <w:lang w:val="es-ES"/>
        </w:rPr>
        <w:t xml:space="preserve"> y adolescentes posibilita su incorporación como investigadores para potenciar procesos de decolonización del saber (Quijano,</w:t>
      </w:r>
      <w:r w:rsidR="0034113C">
        <w:rPr>
          <w:rFonts w:ascii="Helvetica" w:hAnsi="Helvetica" w:cs="Helvetica"/>
          <w:lang w:val="es-ES"/>
        </w:rPr>
        <w:t xml:space="preserve"> </w:t>
      </w:r>
      <w:r w:rsidRPr="000F7E9B">
        <w:rPr>
          <w:rFonts w:ascii="Helvetica" w:hAnsi="Helvetica" w:cs="Helvetica"/>
          <w:lang w:val="es-ES"/>
        </w:rPr>
        <w:t>2000).</w:t>
      </w:r>
    </w:p>
    <w:p w14:paraId="715208B0" w14:textId="162BBDD9" w:rsidR="0034113C" w:rsidRPr="005474E0" w:rsidRDefault="00CC6D1E" w:rsidP="005474E0">
      <w:pPr>
        <w:pBdr>
          <w:bottom w:val="single" w:sz="6" w:space="4" w:color="F2F2F2"/>
        </w:pBdr>
        <w:spacing w:after="150" w:line="312" w:lineRule="atLeast"/>
        <w:jc w:val="both"/>
        <w:outlineLvl w:val="0"/>
        <w:rPr>
          <w:rFonts w:ascii="Helvetica" w:hAnsi="Helvetica" w:cs="Helvetica"/>
          <w:lang w:val="es-ES"/>
        </w:rPr>
      </w:pPr>
      <w:r w:rsidRPr="000F7E9B">
        <w:rPr>
          <w:rFonts w:ascii="Helvetica" w:hAnsi="Helvetica" w:cs="Helvetica"/>
          <w:lang w:val="es-ES"/>
        </w:rPr>
        <w:t xml:space="preserve">Si el trabajo etnográfico colaborativo resulta contrahegemónico desde una perspectiva eurocéntrica de la producción del conocimiento, la situación se acentúa (y marginaliza) cuando se trata de colaboradores de corta edad y relativamente limitada conciencia y experiencia. Sin </w:t>
      </w:r>
      <w:proofErr w:type="gramStart"/>
      <w:r w:rsidRPr="000F7E9B">
        <w:rPr>
          <w:rFonts w:ascii="Helvetica" w:hAnsi="Helvetica" w:cs="Helvetica"/>
          <w:lang w:val="es-ES"/>
        </w:rPr>
        <w:t>embargo,  a</w:t>
      </w:r>
      <w:proofErr w:type="gramEnd"/>
      <w:r w:rsidRPr="000F7E9B">
        <w:rPr>
          <w:rFonts w:ascii="Helvetica" w:hAnsi="Helvetica" w:cs="Helvetica"/>
          <w:lang w:val="es-ES"/>
        </w:rPr>
        <w:t xml:space="preserve"> través de la descripción de experiencias de investigación con niños y niñas mostramos cómo hemos llevado a cabo las tareas y procedimientos que permitieron completar procesos de investigación etnográfica y analizamos cómo fue posible en cada caso elaborar preguntas de investigación y construir interpretaciones colectivamente. De esta manera intentamos aportar al debate más amplio sobre los alcances de </w:t>
      </w:r>
      <w:proofErr w:type="gramStart"/>
      <w:r w:rsidRPr="000F7E9B">
        <w:rPr>
          <w:rFonts w:ascii="Helvetica" w:hAnsi="Helvetica" w:cs="Helvetica"/>
          <w:lang w:val="es-ES"/>
        </w:rPr>
        <w:t>un antropología colaborativa</w:t>
      </w:r>
      <w:proofErr w:type="gramEnd"/>
      <w:r w:rsidRPr="000F7E9B">
        <w:rPr>
          <w:rFonts w:ascii="Helvetica" w:hAnsi="Helvetica" w:cs="Helvetica"/>
          <w:lang w:val="es-ES"/>
        </w:rPr>
        <w:t xml:space="preserve"> haciendo eje en los impactos sobre los modos de conocer y de preguntar qué produjo la colaboración de niños y niñas en el trabajo de dos etnógrafas.</w:t>
      </w:r>
    </w:p>
    <w:p w14:paraId="732449A3" w14:textId="68985756" w:rsidR="0034113C" w:rsidRPr="00611A53" w:rsidRDefault="0034113C" w:rsidP="003F203D">
      <w:pPr>
        <w:pBdr>
          <w:bottom w:val="single" w:sz="6" w:space="4" w:color="F2F2F2"/>
        </w:pBdr>
        <w:spacing w:after="150" w:line="312" w:lineRule="atLeast"/>
        <w:jc w:val="both"/>
        <w:outlineLvl w:val="0"/>
        <w:rPr>
          <w:rFonts w:ascii="Helvetica" w:hAnsi="Helvetica" w:cs="Helvetica"/>
          <w:lang w:val="es-ES"/>
        </w:rPr>
      </w:pPr>
      <w:bookmarkStart w:id="0" w:name="_GoBack"/>
      <w:r w:rsidRPr="00611A53">
        <w:rPr>
          <w:rFonts w:ascii="Helvetica" w:hAnsi="Helvetica" w:cs="Helvetica"/>
          <w:lang w:val="es-ES"/>
        </w:rPr>
        <w:t>Fabian, Johannes (2007)</w:t>
      </w:r>
      <w:r w:rsidR="003F203D" w:rsidRPr="00611A53">
        <w:rPr>
          <w:rFonts w:ascii="Cambria" w:eastAsia="Calibri" w:hAnsi="Cambria" w:cs="Cambria"/>
          <w:sz w:val="22"/>
          <w:szCs w:val="22"/>
          <w:lang w:val="es-ES"/>
        </w:rPr>
        <w:t xml:space="preserve"> </w:t>
      </w:r>
      <w:r w:rsidR="003F203D" w:rsidRPr="00611A53">
        <w:rPr>
          <w:rFonts w:ascii="Helvetica" w:hAnsi="Helvetica" w:cs="Helvetica"/>
          <w:lang w:val="es-ES"/>
        </w:rPr>
        <w:t xml:space="preserve">Memory against Culture: Arguments and reminders. London: Duke University </w:t>
      </w:r>
    </w:p>
    <w:p w14:paraId="044613EA" w14:textId="62BBE59C" w:rsidR="00CC6D1E" w:rsidRPr="00611A53" w:rsidRDefault="0034113C" w:rsidP="003F203D">
      <w:pPr>
        <w:pBdr>
          <w:bottom w:val="single" w:sz="6" w:space="4" w:color="F2F2F2"/>
        </w:pBdr>
        <w:spacing w:after="150" w:line="312" w:lineRule="atLeast"/>
        <w:jc w:val="both"/>
        <w:outlineLvl w:val="0"/>
        <w:rPr>
          <w:rFonts w:ascii="Helvetica" w:hAnsi="Helvetica" w:cs="Helvetica"/>
          <w:lang w:val="es-ES"/>
        </w:rPr>
      </w:pPr>
      <w:r w:rsidRPr="00611A53">
        <w:rPr>
          <w:rFonts w:ascii="Helvetica" w:hAnsi="Helvetica" w:cs="Helvetica"/>
          <w:lang w:val="es-ES"/>
        </w:rPr>
        <w:t>Quijano, Aníbal (2000) “Colonialidad del poder, eurocentrismo y América Latina” pág. 201-246 En E. Lander (comp.) La colonialidad del saber: eurocentrismo y ciencias sociales. Perspectivas latinoamericanas, Buenos Aires: CLACSO.</w:t>
      </w:r>
    </w:p>
    <w:p w14:paraId="75CBC3F4" w14:textId="77777777" w:rsidR="000F7E9B" w:rsidRPr="00611A53" w:rsidRDefault="000F7E9B" w:rsidP="003F203D">
      <w:pPr>
        <w:pBdr>
          <w:bottom w:val="single" w:sz="6" w:space="4" w:color="F2F2F2"/>
        </w:pBdr>
        <w:spacing w:after="150" w:line="312" w:lineRule="atLeast"/>
        <w:jc w:val="both"/>
        <w:outlineLvl w:val="0"/>
        <w:rPr>
          <w:rFonts w:ascii="Helvetica" w:hAnsi="Helvetica" w:cs="Helvetica"/>
          <w:lang w:val="es-ES"/>
        </w:rPr>
      </w:pPr>
    </w:p>
    <w:p w14:paraId="25296200" w14:textId="77777777" w:rsidR="000F7E9B" w:rsidRPr="00611A53" w:rsidRDefault="000F7E9B" w:rsidP="003F203D">
      <w:pPr>
        <w:pBdr>
          <w:bottom w:val="single" w:sz="6" w:space="4" w:color="F2F2F2"/>
        </w:pBdr>
        <w:spacing w:after="150" w:line="312" w:lineRule="atLeast"/>
        <w:jc w:val="both"/>
        <w:outlineLvl w:val="0"/>
        <w:rPr>
          <w:rFonts w:ascii="Helvetica" w:hAnsi="Helvetica" w:cs="Helvetica"/>
          <w:lang w:val="es-ES"/>
        </w:rPr>
      </w:pPr>
    </w:p>
    <w:p w14:paraId="3FA1654E" w14:textId="77777777" w:rsidR="000F7E9B" w:rsidRPr="00611A53" w:rsidRDefault="000F7E9B" w:rsidP="003F203D">
      <w:pPr>
        <w:pBdr>
          <w:bottom w:val="single" w:sz="6" w:space="4" w:color="F2F2F2"/>
        </w:pBdr>
        <w:spacing w:after="150" w:line="312" w:lineRule="atLeast"/>
        <w:jc w:val="both"/>
        <w:outlineLvl w:val="0"/>
        <w:rPr>
          <w:rFonts w:ascii="Helvetica" w:hAnsi="Helvetica" w:cs="Helvetica"/>
          <w:lang w:val="es-ES"/>
        </w:rPr>
      </w:pPr>
    </w:p>
    <w:p w14:paraId="7D145A4B" w14:textId="77777777" w:rsidR="00AF519A" w:rsidRPr="00611A53" w:rsidRDefault="00AF519A" w:rsidP="003F203D">
      <w:pPr>
        <w:jc w:val="both"/>
        <w:rPr>
          <w:lang w:val="es-ES"/>
        </w:rPr>
      </w:pPr>
    </w:p>
    <w:bookmarkEnd w:id="0"/>
    <w:sectPr w:rsidR="00AF519A" w:rsidRPr="00611A53" w:rsidSect="00A56B0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75BC9"/>
    <w:multiLevelType w:val="multilevel"/>
    <w:tmpl w:val="0C16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FE756A"/>
    <w:multiLevelType w:val="multilevel"/>
    <w:tmpl w:val="4FBAF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9C"/>
    <w:rsid w:val="000D50F4"/>
    <w:rsid w:val="000F7E9B"/>
    <w:rsid w:val="00167DBB"/>
    <w:rsid w:val="0034113C"/>
    <w:rsid w:val="0038369C"/>
    <w:rsid w:val="003F203D"/>
    <w:rsid w:val="00533402"/>
    <w:rsid w:val="005474E0"/>
    <w:rsid w:val="00611A53"/>
    <w:rsid w:val="009B7396"/>
    <w:rsid w:val="00A56B0A"/>
    <w:rsid w:val="00AF519A"/>
    <w:rsid w:val="00CC6D1E"/>
    <w:rsid w:val="00FE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19347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369C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38369C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69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38369C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38369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8369C"/>
  </w:style>
  <w:style w:type="character" w:styleId="Emphasis">
    <w:name w:val="Emphasis"/>
    <w:basedOn w:val="DefaultParagraphFont"/>
    <w:uiPriority w:val="20"/>
    <w:qFormat/>
    <w:rsid w:val="0038369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8369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51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Macintosh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Si el trabajo etnográfico colaborativo resulta contrahegemónico desde una perspe</vt:lpstr>
      <vt:lpstr>Fabian, Johannes (2007) Memory against Culture: Arguments and reminders. London:</vt:lpstr>
      <vt:lpstr>Quijano, Aníbal (2000) “Colonialidad del poder, eurocentrismo y América Latina” </vt:lpstr>
      <vt:lpstr/>
      <vt:lpstr/>
      <vt:lpstr/>
    </vt:vector>
  </TitlesOfParts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Milstein</dc:creator>
  <cp:keywords/>
  <dc:description/>
  <cp:lastModifiedBy>Diana Milstein</cp:lastModifiedBy>
  <cp:revision>2</cp:revision>
  <dcterms:created xsi:type="dcterms:W3CDTF">2016-10-07T13:09:00Z</dcterms:created>
  <dcterms:modified xsi:type="dcterms:W3CDTF">2016-10-07T13:09:00Z</dcterms:modified>
</cp:coreProperties>
</file>