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15" w:rsidRPr="006A6B96" w:rsidRDefault="003476FA">
      <w:pPr>
        <w:rPr>
          <w:sz w:val="28"/>
        </w:rPr>
      </w:pPr>
      <w:bookmarkStart w:id="0" w:name="_GoBack"/>
      <w:r w:rsidRPr="006A6B96">
        <w:rPr>
          <w:sz w:val="28"/>
        </w:rPr>
        <w:t>Parques Rurales</w:t>
      </w:r>
      <w:r w:rsidR="006A6B96">
        <w:rPr>
          <w:sz w:val="28"/>
        </w:rPr>
        <w:t>. Conservación, desarrollo y turismo</w:t>
      </w:r>
    </w:p>
    <w:p w:rsidR="006917B2" w:rsidRDefault="003476FA" w:rsidP="003476FA">
      <w:pPr>
        <w:jc w:val="both"/>
      </w:pPr>
      <w:r>
        <w:t xml:space="preserve">La figura administrativa “Parque Rural”, derivada de la </w:t>
      </w:r>
      <w:r w:rsidRPr="003476FA">
        <w:t>Ley 12/1994, de 19 de diciembre, de Espacios Naturales de Canarias</w:t>
      </w:r>
      <w:r>
        <w:t xml:space="preserve"> se crea a raíz de una serie de conflictos derivados de la declaración (en 1987) como “Parque Natural” </w:t>
      </w:r>
      <w:r w:rsidR="006917B2">
        <w:t>de ciertos entornos poblados, en los que tradicionalmente se venían desarrollando actividades agrícolas, ganaderas, pesqueras y silvícolas. De esta forma, se trata de una categoría administrativa surgida de la dialéctica natural-rural, que proclama objetivos</w:t>
      </w:r>
      <w:r w:rsidR="00413A23">
        <w:t xml:space="preserve"> ligados</w:t>
      </w:r>
      <w:r w:rsidR="006917B2">
        <w:t xml:space="preserve"> tanto</w:t>
      </w:r>
      <w:r w:rsidR="00413A23">
        <w:t xml:space="preserve"> a</w:t>
      </w:r>
      <w:r w:rsidR="006917B2">
        <w:t xml:space="preserve"> la conservación de ecosistema, paisaje</w:t>
      </w:r>
      <w:r w:rsidR="00413A23">
        <w:t>s</w:t>
      </w:r>
      <w:r w:rsidR="006917B2">
        <w:t xml:space="preserve"> y especies concretas como </w:t>
      </w:r>
      <w:r w:rsidR="00413A23">
        <w:t>a</w:t>
      </w:r>
      <w:r w:rsidR="006917B2">
        <w:t xml:space="preserve">l desarrollo socioeconómico y cultural de las poblaciones humanas relacionadas con él. </w:t>
      </w:r>
    </w:p>
    <w:p w:rsidR="00413A23" w:rsidRDefault="006917B2" w:rsidP="003476FA">
      <w:pPr>
        <w:jc w:val="both"/>
      </w:pPr>
      <w:r>
        <w:t xml:space="preserve"> </w:t>
      </w:r>
      <w:r w:rsidR="006A6B96">
        <w:t>Tras su declaración, la conflictividad en relación con la diversidad de usos, agentes y mecanismos de gestión de estos espacios no ha cesado. Complicándose aún más si se tiene en cuenta que se trata de escenarios clave para el desarrollo de actividades turísticas masivas</w:t>
      </w:r>
      <w:r w:rsidR="00413A23">
        <w:t xml:space="preserve"> en las islas</w:t>
      </w:r>
      <w:r w:rsidR="006A6B96">
        <w:t>, en l</w:t>
      </w:r>
      <w:r w:rsidR="00413A23">
        <w:t>a</w:t>
      </w:r>
      <w:r w:rsidR="006A6B96">
        <w:t>s que la caracterización</w:t>
      </w:r>
      <w:r w:rsidR="00413A23">
        <w:t xml:space="preserve"> y exaltación</w:t>
      </w:r>
      <w:r w:rsidR="006A6B96">
        <w:t xml:space="preserve"> de lo natural y lo rural c</w:t>
      </w:r>
      <w:r w:rsidR="00413A23">
        <w:t>ompiten por atraer la atención de los visitantes, repartiéndose asimismo determinados impactos no deseados.</w:t>
      </w:r>
      <w:bookmarkEnd w:id="0"/>
    </w:p>
    <w:sectPr w:rsidR="00413A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C4"/>
    <w:rsid w:val="003476FA"/>
    <w:rsid w:val="00413A23"/>
    <w:rsid w:val="00477F15"/>
    <w:rsid w:val="005F54C4"/>
    <w:rsid w:val="006917B2"/>
    <w:rsid w:val="006A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180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Alberto</cp:lastModifiedBy>
  <cp:revision>1</cp:revision>
  <dcterms:created xsi:type="dcterms:W3CDTF">2016-10-13T10:08:00Z</dcterms:created>
  <dcterms:modified xsi:type="dcterms:W3CDTF">2016-10-13T10:56:00Z</dcterms:modified>
</cp:coreProperties>
</file>