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1CE0E" w14:textId="477565A1" w:rsidR="00CF2C51" w:rsidRDefault="007E2305" w:rsidP="00D46E77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New Roman"/>
          <w:b/>
          <w:sz w:val="20"/>
          <w:szCs w:val="20"/>
          <w:lang w:val="es-ES"/>
        </w:rPr>
      </w:pPr>
      <w:bookmarkStart w:id="0" w:name="_GoBack"/>
      <w:r>
        <w:rPr>
          <w:rFonts w:asciiTheme="majorHAnsi" w:hAnsiTheme="majorHAnsi" w:cs="Times New Roman"/>
          <w:b/>
          <w:sz w:val="20"/>
          <w:szCs w:val="20"/>
          <w:lang w:val="es-ES"/>
        </w:rPr>
        <w:t xml:space="preserve"> “La participación social” y los conocimientos tradicionales </w:t>
      </w:r>
      <w:proofErr w:type="spellStart"/>
      <w:r>
        <w:rPr>
          <w:rFonts w:asciiTheme="majorHAnsi" w:hAnsiTheme="majorHAnsi" w:cs="Times New Roman"/>
          <w:b/>
          <w:sz w:val="20"/>
          <w:szCs w:val="20"/>
          <w:lang w:val="es-ES"/>
        </w:rPr>
        <w:t>patrimonializados</w:t>
      </w:r>
      <w:bookmarkEnd w:id="0"/>
      <w:proofErr w:type="spellEnd"/>
      <w:r>
        <w:rPr>
          <w:rFonts w:asciiTheme="majorHAnsi" w:hAnsiTheme="majorHAnsi" w:cs="Times New Roman"/>
          <w:b/>
          <w:sz w:val="20"/>
          <w:szCs w:val="20"/>
          <w:lang w:val="es-ES"/>
        </w:rPr>
        <w:t>.</w:t>
      </w:r>
    </w:p>
    <w:p w14:paraId="21BABC6A" w14:textId="77777777" w:rsidR="00CF2C51" w:rsidRPr="00D46E77" w:rsidRDefault="00CF2C51" w:rsidP="00D46E77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New Roman"/>
          <w:b/>
          <w:sz w:val="20"/>
          <w:szCs w:val="20"/>
          <w:lang w:val="es-ES"/>
        </w:rPr>
      </w:pPr>
      <w:r>
        <w:rPr>
          <w:rFonts w:asciiTheme="majorHAnsi" w:hAnsiTheme="majorHAnsi" w:cs="Times New Roman"/>
          <w:b/>
          <w:sz w:val="20"/>
          <w:szCs w:val="20"/>
          <w:lang w:val="es-ES"/>
        </w:rPr>
        <w:t xml:space="preserve">Gema Carrera Díaz. </w:t>
      </w:r>
    </w:p>
    <w:p w14:paraId="13DAF35F" w14:textId="77777777" w:rsidR="00D46E77" w:rsidRDefault="00D46E77" w:rsidP="00D46E77">
      <w:pPr>
        <w:widowControl w:val="0"/>
        <w:autoSpaceDE w:val="0"/>
        <w:autoSpaceDN w:val="0"/>
        <w:adjustRightInd w:val="0"/>
        <w:spacing w:after="240"/>
        <w:jc w:val="both"/>
        <w:rPr>
          <w:rFonts w:asciiTheme="majorHAnsi" w:hAnsiTheme="majorHAnsi" w:cs="Times New Roman"/>
          <w:sz w:val="20"/>
          <w:szCs w:val="20"/>
          <w:lang w:val="es-ES"/>
        </w:rPr>
      </w:pPr>
      <w:r>
        <w:rPr>
          <w:rFonts w:asciiTheme="majorHAnsi" w:hAnsiTheme="majorHAnsi" w:cs="Times New Roman"/>
          <w:sz w:val="20"/>
          <w:szCs w:val="20"/>
          <w:lang w:val="es-ES"/>
        </w:rPr>
        <w:t xml:space="preserve"> En torno a los conocimientos y oficios tradicionales se producen diferentes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tipos de activaciones patrimoniales o procesos de </w:t>
      </w:r>
      <w:proofErr w:type="spellStart"/>
      <w:r w:rsidRPr="00D46E77">
        <w:rPr>
          <w:rFonts w:asciiTheme="majorHAnsi" w:hAnsiTheme="majorHAnsi" w:cs="Times New Roman"/>
          <w:sz w:val="20"/>
          <w:szCs w:val="20"/>
          <w:lang w:val="es-ES"/>
        </w:rPr>
        <w:t>patrimonialización</w:t>
      </w:r>
      <w:proofErr w:type="spellEnd"/>
      <w:r>
        <w:rPr>
          <w:rFonts w:asciiTheme="majorHAnsi" w:hAnsiTheme="majorHAnsi" w:cs="Times New Roman"/>
          <w:sz w:val="20"/>
          <w:szCs w:val="20"/>
          <w:lang w:val="es-ES"/>
        </w:rPr>
        <w:t xml:space="preserve"> activados por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>colectivos con objetivos igualmente diverso</w:t>
      </w:r>
      <w:r>
        <w:rPr>
          <w:rFonts w:asciiTheme="majorHAnsi" w:hAnsiTheme="majorHAnsi" w:cs="Times New Roman"/>
          <w:sz w:val="20"/>
          <w:szCs w:val="20"/>
          <w:lang w:val="es-ES"/>
        </w:rPr>
        <w:t>s</w:t>
      </w:r>
      <w:r w:rsidR="00AB0E4D">
        <w:rPr>
          <w:rFonts w:asciiTheme="majorHAnsi" w:hAnsiTheme="majorHAnsi" w:cs="Times New Roman"/>
          <w:sz w:val="20"/>
          <w:szCs w:val="20"/>
          <w:lang w:val="es-ES"/>
        </w:rPr>
        <w:t xml:space="preserve">, más o menos utópicas, opacas o cosméticas.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Movimientos sociales, agricultores, instituciones y agentes empresariales </w:t>
      </w:r>
      <w:proofErr w:type="spellStart"/>
      <w:r>
        <w:rPr>
          <w:rFonts w:asciiTheme="majorHAnsi" w:hAnsiTheme="majorHAnsi" w:cs="Times New Roman"/>
          <w:sz w:val="20"/>
          <w:szCs w:val="20"/>
          <w:lang w:val="es-ES"/>
        </w:rPr>
        <w:t>patrimonializan</w:t>
      </w:r>
      <w:proofErr w:type="spellEnd"/>
      <w:r>
        <w:rPr>
          <w:rFonts w:asciiTheme="majorHAnsi" w:hAnsiTheme="majorHAnsi" w:cs="Times New Roman"/>
          <w:sz w:val="20"/>
          <w:szCs w:val="20"/>
          <w:lang w:val="es-ES"/>
        </w:rPr>
        <w:t xml:space="preserve"> estas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>actividad</w:t>
      </w:r>
      <w:r>
        <w:rPr>
          <w:rFonts w:asciiTheme="majorHAnsi" w:hAnsiTheme="majorHAnsi" w:cs="Times New Roman"/>
          <w:sz w:val="20"/>
          <w:szCs w:val="20"/>
          <w:lang w:val="es-ES"/>
        </w:rPr>
        <w:t xml:space="preserve">es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no sólo por </w:t>
      </w:r>
      <w:r w:rsidR="00AB0E4D">
        <w:rPr>
          <w:rFonts w:asciiTheme="majorHAnsi" w:hAnsiTheme="majorHAnsi" w:cs="Times New Roman"/>
          <w:sz w:val="20"/>
          <w:szCs w:val="20"/>
          <w:lang w:val="es-ES"/>
        </w:rPr>
        <w:t>factores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 xml:space="preserve"> culturales o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>medioambien</w:t>
      </w:r>
      <w:r w:rsidR="00AB0E4D">
        <w:rPr>
          <w:rFonts w:asciiTheme="majorHAnsi" w:hAnsiTheme="majorHAnsi" w:cs="Times New Roman"/>
          <w:sz w:val="20"/>
          <w:szCs w:val="20"/>
          <w:lang w:val="es-ES"/>
        </w:rPr>
        <w:t>tales sino también por factores de tipo exclusivamente económico o turístico.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</w:t>
      </w:r>
    </w:p>
    <w:p w14:paraId="51B73437" w14:textId="77777777" w:rsidR="00D46E77" w:rsidRDefault="00AB0E4D" w:rsidP="00D46E77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="Times New Roman"/>
          <w:sz w:val="20"/>
          <w:szCs w:val="20"/>
          <w:lang w:val="es-ES"/>
        </w:rPr>
      </w:pPr>
      <w:r>
        <w:rPr>
          <w:rFonts w:asciiTheme="majorHAnsi" w:hAnsiTheme="majorHAnsi" w:cs="Times New Roman"/>
          <w:sz w:val="20"/>
          <w:szCs w:val="20"/>
          <w:lang w:val="es-ES"/>
        </w:rPr>
        <w:t xml:space="preserve">Entre las utopías, </w:t>
      </w:r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>pequeñas resistencias individuales o colectivas basadas en la diversificación y multifuncio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>nalidad del “buscarse la vida</w:t>
      </w:r>
      <w:r>
        <w:rPr>
          <w:rFonts w:asciiTheme="majorHAnsi" w:hAnsiTheme="majorHAnsi" w:cs="Times New Roman"/>
          <w:sz w:val="20"/>
          <w:szCs w:val="20"/>
          <w:lang w:val="es-ES"/>
        </w:rPr>
        <w:t>” o, algunas de mayor calado, provienen de</w:t>
      </w:r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movimientos “</w:t>
      </w:r>
      <w:proofErr w:type="spellStart"/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>socioterritoriales</w:t>
      </w:r>
      <w:proofErr w:type="spellEnd"/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” </w:t>
      </w:r>
      <w:r>
        <w:rPr>
          <w:rFonts w:asciiTheme="majorHAnsi" w:hAnsiTheme="majorHAnsi" w:cs="Times New Roman"/>
          <w:sz w:val="20"/>
          <w:szCs w:val="20"/>
          <w:lang w:val="es-ES"/>
        </w:rPr>
        <w:t xml:space="preserve">que constituyen </w:t>
      </w:r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>resistencia</w:t>
      </w:r>
      <w:r>
        <w:rPr>
          <w:rFonts w:asciiTheme="majorHAnsi" w:hAnsiTheme="majorHAnsi" w:cs="Times New Roman"/>
          <w:sz w:val="20"/>
          <w:szCs w:val="20"/>
          <w:lang w:val="es-ES"/>
        </w:rPr>
        <w:t>s</w:t>
      </w:r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colecti</w:t>
      </w:r>
      <w:r>
        <w:rPr>
          <w:rFonts w:asciiTheme="majorHAnsi" w:hAnsiTheme="majorHAnsi" w:cs="Times New Roman"/>
          <w:sz w:val="20"/>
          <w:szCs w:val="20"/>
          <w:lang w:val="es-ES"/>
        </w:rPr>
        <w:t>vas</w:t>
      </w:r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basadas en reivindicaciones territoriales, culturales, económicas y ambientales (Martínez </w:t>
      </w:r>
      <w:proofErr w:type="spellStart"/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>Alier</w:t>
      </w:r>
      <w:proofErr w:type="spellEnd"/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>, 2005). Estas iniciativas sociales pueden estar tan bien estructuradas</w:t>
      </w:r>
      <w:r w:rsidR="00D46E77">
        <w:rPr>
          <w:rFonts w:asciiTheme="majorHAnsi" w:hAnsiTheme="majorHAnsi" w:cs="Times New Roman"/>
          <w:sz w:val="20"/>
          <w:szCs w:val="20"/>
          <w:lang w:val="es-ES"/>
        </w:rPr>
        <w:t xml:space="preserve"> desde la base</w:t>
      </w:r>
      <w:r w:rsidR="00D46E77"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que son capaces de llegar a transformar positivamente la organización del Estado y el orden económico dominante. Se trata de una reacción social local a las estructuras “globales” de poder generadas por la articulación transnacional de los estados y la economía (Sevilla Guzmán y Soler Montiel, 2010). </w:t>
      </w:r>
    </w:p>
    <w:p w14:paraId="7C5AFE5D" w14:textId="77777777" w:rsidR="00CF2C51" w:rsidRDefault="00D46E77" w:rsidP="00CF2C51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="Times New Roman"/>
          <w:sz w:val="20"/>
          <w:szCs w:val="20"/>
          <w:lang w:val="es-ES"/>
        </w:rPr>
      </w:pPr>
      <w:r w:rsidRPr="00D46E77">
        <w:rPr>
          <w:rFonts w:asciiTheme="majorHAnsi" w:hAnsiTheme="majorHAnsi" w:cs="Times New Roman"/>
          <w:sz w:val="20"/>
          <w:szCs w:val="20"/>
          <w:lang w:val="es-ES"/>
        </w:rPr>
        <w:t>En</w:t>
      </w:r>
      <w:r w:rsidR="00AB0E4D">
        <w:rPr>
          <w:rFonts w:asciiTheme="majorHAnsi" w:hAnsiTheme="majorHAnsi" w:cs="Times New Roman"/>
          <w:sz w:val="20"/>
          <w:szCs w:val="20"/>
          <w:lang w:val="es-ES"/>
        </w:rPr>
        <w:t xml:space="preserve"> otros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casos, se producen acciones de </w:t>
      </w:r>
      <w:proofErr w:type="spellStart"/>
      <w:r w:rsidRPr="00D46E77">
        <w:rPr>
          <w:rFonts w:asciiTheme="majorHAnsi" w:hAnsiTheme="majorHAnsi" w:cs="Times New Roman"/>
          <w:sz w:val="20"/>
          <w:szCs w:val="20"/>
          <w:lang w:val="es-ES"/>
        </w:rPr>
        <w:t>patrimonialización</w:t>
      </w:r>
      <w:proofErr w:type="spellEnd"/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en el marco de la gestión patrimonial, más o menos participativa</w:t>
      </w:r>
      <w:r>
        <w:rPr>
          <w:rFonts w:asciiTheme="majorHAnsi" w:hAnsiTheme="majorHAnsi" w:cs="Times New Roman"/>
          <w:sz w:val="20"/>
          <w:szCs w:val="20"/>
          <w:lang w:val="es-ES"/>
        </w:rPr>
        <w:t>s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, con o sin coordinación con los agentes necesarios, por lo que la protección </w:t>
      </w:r>
      <w:r>
        <w:rPr>
          <w:rFonts w:asciiTheme="majorHAnsi" w:hAnsiTheme="majorHAnsi" w:cs="Times New Roman"/>
          <w:sz w:val="20"/>
          <w:szCs w:val="20"/>
          <w:lang w:val="es-ES"/>
        </w:rPr>
        <w:t>jurídica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no tiene por qué garantizar en la mayor parte de los casos la continuidad de un oficio si no se producen otros mecanismos de participación y coordinación necesarios (como es el caso del Corral de pesca de Merlín en Sanlúcar de Barrameda -protegido por cultura como Lugar de Interés Etnológico- , completamente abandonado; o los corrales de pesca de Rota, que si bien siguen activos, encuentran más problemas para </w:t>
      </w:r>
      <w:proofErr w:type="spellStart"/>
      <w:r w:rsidRPr="00D46E77">
        <w:rPr>
          <w:rFonts w:asciiTheme="majorHAnsi" w:hAnsiTheme="majorHAnsi" w:cs="Times New Roman"/>
          <w:sz w:val="20"/>
          <w:szCs w:val="20"/>
          <w:lang w:val="es-ES"/>
        </w:rPr>
        <w:t>autogestionarse</w:t>
      </w:r>
      <w:proofErr w:type="spellEnd"/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, al haberse protegido como monumento natural). </w:t>
      </w:r>
    </w:p>
    <w:p w14:paraId="49DD3490" w14:textId="77777777" w:rsidR="00AB0E4D" w:rsidRDefault="00D46E77" w:rsidP="00CF2C51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="Times New Roman"/>
          <w:sz w:val="20"/>
          <w:szCs w:val="20"/>
          <w:lang w:val="es-ES"/>
        </w:rPr>
      </w:pP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En otras ocasiones, </w:t>
      </w:r>
      <w:r w:rsidR="00AB0E4D">
        <w:rPr>
          <w:rFonts w:asciiTheme="majorHAnsi" w:hAnsiTheme="majorHAnsi" w:cs="Times New Roman"/>
          <w:sz w:val="20"/>
          <w:szCs w:val="20"/>
          <w:lang w:val="es-ES"/>
        </w:rPr>
        <w:t xml:space="preserve">más cosméticas y opacas,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>siempre en representación de la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 xml:space="preserve"> supuesta “comunidad”, muchas veces inventada, 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toman el protagonismo activaciones patrimoniales que provienen de agentes políticos, </w:t>
      </w:r>
      <w:r w:rsidR="00AB0E4D">
        <w:rPr>
          <w:rFonts w:asciiTheme="majorHAnsi" w:hAnsiTheme="majorHAnsi" w:cs="Times New Roman"/>
          <w:sz w:val="20"/>
          <w:szCs w:val="20"/>
          <w:lang w:val="es-ES"/>
        </w:rPr>
        <w:t>ins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>titucionales o empresariales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 que interpretan este patrimonio como recursos para crear nuevos “modelos de negocios” para el “desarrollo rural” o como instrumento político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 xml:space="preserve"> y utilizan la participación social como coartada para legitimar dichas acciones</w:t>
      </w:r>
      <w:r w:rsidRPr="00D46E77">
        <w:rPr>
          <w:rFonts w:asciiTheme="majorHAnsi" w:hAnsiTheme="majorHAnsi" w:cs="Times New Roman"/>
          <w:sz w:val="20"/>
          <w:szCs w:val="20"/>
          <w:lang w:val="es-ES"/>
        </w:rPr>
        <w:t xml:space="preserve">. </w:t>
      </w:r>
    </w:p>
    <w:p w14:paraId="46365F0A" w14:textId="77777777" w:rsidR="00D46E77" w:rsidRPr="00CF2C51" w:rsidRDefault="00AB0E4D" w:rsidP="00CF2C51">
      <w:pPr>
        <w:widowControl w:val="0"/>
        <w:autoSpaceDE w:val="0"/>
        <w:autoSpaceDN w:val="0"/>
        <w:adjustRightInd w:val="0"/>
        <w:spacing w:after="240"/>
        <w:ind w:firstLine="708"/>
        <w:jc w:val="both"/>
        <w:rPr>
          <w:rFonts w:asciiTheme="majorHAnsi" w:hAnsiTheme="majorHAnsi" w:cs="Times New Roman"/>
          <w:sz w:val="20"/>
          <w:szCs w:val="20"/>
          <w:lang w:val="es-ES"/>
        </w:rPr>
      </w:pPr>
      <w:r>
        <w:rPr>
          <w:rFonts w:asciiTheme="majorHAnsi" w:hAnsiTheme="majorHAnsi" w:cs="Times New Roman"/>
          <w:sz w:val="20"/>
          <w:szCs w:val="20"/>
          <w:lang w:val="es-ES"/>
        </w:rPr>
        <w:t>En esta comunicación trataremos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>, desde una visión crítica,</w:t>
      </w:r>
      <w:r>
        <w:rPr>
          <w:rFonts w:asciiTheme="majorHAnsi" w:hAnsiTheme="majorHAnsi" w:cs="Times New Roman"/>
          <w:sz w:val="20"/>
          <w:szCs w:val="20"/>
          <w:lang w:val="es-ES"/>
        </w:rPr>
        <w:t xml:space="preserve"> realizar</w:t>
      </w:r>
      <w:r w:rsidR="00CF2C51">
        <w:rPr>
          <w:rFonts w:asciiTheme="majorHAnsi" w:hAnsiTheme="majorHAnsi" w:cs="Times New Roman"/>
          <w:sz w:val="20"/>
          <w:szCs w:val="20"/>
          <w:lang w:val="es-ES"/>
        </w:rPr>
        <w:t xml:space="preserve"> un análisis de los discursos sobre participación social </w:t>
      </w:r>
      <w:r>
        <w:rPr>
          <w:rFonts w:asciiTheme="majorHAnsi" w:hAnsiTheme="majorHAnsi" w:cs="Times New Roman"/>
          <w:sz w:val="20"/>
          <w:szCs w:val="20"/>
          <w:lang w:val="es-ES"/>
        </w:rPr>
        <w:t>en activaciones  patrimoniales relacionadas con los conocimientos tradicionales.</w:t>
      </w:r>
    </w:p>
    <w:p w14:paraId="2EE8DD99" w14:textId="77777777" w:rsidR="005B1AF5" w:rsidRPr="00D46E77" w:rsidRDefault="005B1AF5">
      <w:pPr>
        <w:rPr>
          <w:rFonts w:asciiTheme="majorHAnsi" w:hAnsiTheme="majorHAnsi"/>
          <w:sz w:val="20"/>
          <w:szCs w:val="20"/>
        </w:rPr>
      </w:pPr>
    </w:p>
    <w:sectPr w:rsidR="005B1AF5" w:rsidRPr="00D46E77" w:rsidSect="00D46E77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77"/>
    <w:rsid w:val="005B1AF5"/>
    <w:rsid w:val="007A5151"/>
    <w:rsid w:val="007E2305"/>
    <w:rsid w:val="00AB0E4D"/>
    <w:rsid w:val="00CF2C51"/>
    <w:rsid w:val="00D4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D631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2266</Characters>
  <Application>Microsoft Macintosh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Carrera Diaz</dc:creator>
  <cp:keywords/>
  <dc:description/>
  <cp:lastModifiedBy>Gema Carrera Diaz</cp:lastModifiedBy>
  <cp:revision>4</cp:revision>
  <dcterms:created xsi:type="dcterms:W3CDTF">2016-10-13T12:41:00Z</dcterms:created>
  <dcterms:modified xsi:type="dcterms:W3CDTF">2016-10-13T12:58:00Z</dcterms:modified>
</cp:coreProperties>
</file>