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CBD" w:rsidRPr="005E5D02" w:rsidRDefault="005E5D02" w:rsidP="00524E08">
      <w:pPr>
        <w:pStyle w:val="NormalWeb"/>
        <w:shd w:val="clear" w:color="auto" w:fill="FFFFFF"/>
        <w:spacing w:before="0" w:beforeAutospacing="0" w:after="0" w:afterAutospacing="0"/>
        <w:jc w:val="center"/>
        <w:textAlignment w:val="baseline"/>
        <w:rPr>
          <w:rStyle w:val="nfasis"/>
          <w:rFonts w:asciiTheme="minorHAnsi" w:hAnsiTheme="minorHAnsi"/>
          <w:b/>
          <w:bCs/>
          <w:iCs w:val="0"/>
          <w:bdr w:val="none" w:sz="0" w:space="0" w:color="auto" w:frame="1"/>
        </w:rPr>
      </w:pPr>
      <w:r>
        <w:rPr>
          <w:rFonts w:ascii="Calibri" w:hAnsi="Calibri"/>
          <w:b/>
          <w:iCs/>
          <w:shd w:val="clear" w:color="auto" w:fill="FFFFFF"/>
        </w:rPr>
        <w:t>The Place of Agency against Strucure. Empowerment Paradoxes of Socialist Roma P</w:t>
      </w:r>
      <w:r w:rsidR="008055AA">
        <w:rPr>
          <w:rFonts w:ascii="Calibri" w:hAnsi="Calibri"/>
          <w:b/>
          <w:iCs/>
          <w:shd w:val="clear" w:color="auto" w:fill="FFFFFF"/>
        </w:rPr>
        <w:t>olicies in Romania</w:t>
      </w:r>
      <w:bookmarkStart w:id="0" w:name="_GoBack"/>
      <w:bookmarkEnd w:id="0"/>
      <w:r w:rsidR="0002692E" w:rsidRPr="005E5D02">
        <w:rPr>
          <w:rFonts w:ascii="Verdana" w:hAnsi="Verdana"/>
          <w:b/>
        </w:rPr>
        <w:br/>
      </w:r>
    </w:p>
    <w:p w:rsidR="00EF7CBD" w:rsidRDefault="0002692E" w:rsidP="0002692E">
      <w:pPr>
        <w:pStyle w:val="NormalWeb"/>
        <w:shd w:val="clear" w:color="auto" w:fill="FFFFFF"/>
        <w:spacing w:before="0" w:beforeAutospacing="0" w:after="0" w:afterAutospacing="0"/>
        <w:jc w:val="right"/>
        <w:textAlignment w:val="baseline"/>
        <w:rPr>
          <w:rStyle w:val="nfasis"/>
          <w:rFonts w:asciiTheme="minorHAnsi" w:hAnsiTheme="minorHAnsi"/>
          <w:color w:val="111111"/>
          <w:sz w:val="22"/>
          <w:szCs w:val="22"/>
          <w:bdr w:val="none" w:sz="0" w:space="0" w:color="auto" w:frame="1"/>
        </w:rPr>
      </w:pPr>
      <w:r w:rsidRPr="00EF7CBD">
        <w:rPr>
          <w:rStyle w:val="nfasis"/>
          <w:rFonts w:asciiTheme="minorHAnsi" w:hAnsiTheme="minorHAnsi"/>
          <w:color w:val="111111"/>
          <w:sz w:val="22"/>
          <w:szCs w:val="22"/>
          <w:bdr w:val="none" w:sz="0" w:space="0" w:color="auto" w:frame="1"/>
        </w:rPr>
        <w:t>Zsuzsa Plainer</w:t>
      </w:r>
    </w:p>
    <w:p w:rsidR="00F4798C" w:rsidRPr="00F4798C" w:rsidRDefault="00F4798C" w:rsidP="0002692E">
      <w:pPr>
        <w:pStyle w:val="NormalWeb"/>
        <w:shd w:val="clear" w:color="auto" w:fill="FFFFFF"/>
        <w:spacing w:before="0" w:beforeAutospacing="0" w:after="0" w:afterAutospacing="0"/>
        <w:jc w:val="right"/>
        <w:textAlignment w:val="baseline"/>
        <w:rPr>
          <w:rStyle w:val="nfasis"/>
          <w:rFonts w:asciiTheme="minorHAnsi" w:hAnsiTheme="minorHAnsi"/>
          <w:i w:val="0"/>
          <w:color w:val="111111"/>
          <w:sz w:val="22"/>
          <w:szCs w:val="22"/>
          <w:bdr w:val="none" w:sz="0" w:space="0" w:color="auto" w:frame="1"/>
        </w:rPr>
      </w:pPr>
      <w:r>
        <w:rPr>
          <w:rStyle w:val="nfasis"/>
          <w:rFonts w:asciiTheme="minorHAnsi" w:hAnsiTheme="minorHAnsi"/>
          <w:i w:val="0"/>
          <w:color w:val="111111"/>
          <w:sz w:val="22"/>
          <w:szCs w:val="22"/>
          <w:bdr w:val="none" w:sz="0" w:space="0" w:color="auto" w:frame="1"/>
        </w:rPr>
        <w:t>ISPMN</w:t>
      </w:r>
      <w:r w:rsidR="005E5D02">
        <w:rPr>
          <w:rStyle w:val="nfasis"/>
          <w:rFonts w:asciiTheme="minorHAnsi" w:hAnsiTheme="minorHAnsi"/>
          <w:i w:val="0"/>
          <w:color w:val="111111"/>
          <w:sz w:val="22"/>
          <w:szCs w:val="22"/>
          <w:bdr w:val="none" w:sz="0" w:space="0" w:color="auto" w:frame="1"/>
        </w:rPr>
        <w:t>, the Romanian Institute for Researching National Minorities,</w:t>
      </w:r>
      <w:r>
        <w:rPr>
          <w:rStyle w:val="nfasis"/>
          <w:rFonts w:asciiTheme="minorHAnsi" w:hAnsiTheme="minorHAnsi"/>
          <w:i w:val="0"/>
          <w:color w:val="111111"/>
          <w:sz w:val="22"/>
          <w:szCs w:val="22"/>
          <w:bdr w:val="none" w:sz="0" w:space="0" w:color="auto" w:frame="1"/>
        </w:rPr>
        <w:t xml:space="preserve"> Cluj-Napoca, Romania</w:t>
      </w:r>
    </w:p>
    <w:p w:rsidR="0002692E" w:rsidRDefault="0002692E" w:rsidP="0002692E">
      <w:pPr>
        <w:pStyle w:val="NormalWeb"/>
        <w:shd w:val="clear" w:color="auto" w:fill="FFFFFF"/>
        <w:spacing w:before="0" w:beforeAutospacing="0" w:after="0" w:afterAutospacing="0"/>
        <w:jc w:val="right"/>
        <w:textAlignment w:val="baseline"/>
        <w:rPr>
          <w:rFonts w:asciiTheme="minorHAnsi" w:hAnsiTheme="minorHAnsi"/>
          <w:color w:val="111111"/>
          <w:sz w:val="22"/>
          <w:szCs w:val="22"/>
        </w:rPr>
      </w:pPr>
      <w:r w:rsidRPr="00EF7CBD">
        <w:rPr>
          <w:rFonts w:asciiTheme="minorHAnsi" w:hAnsiTheme="minorHAnsi"/>
          <w:color w:val="111111"/>
          <w:sz w:val="22"/>
          <w:szCs w:val="22"/>
        </w:rPr>
        <w:br/>
      </w:r>
      <w:hyperlink r:id="rId5" w:history="1">
        <w:r w:rsidR="00524E08" w:rsidRPr="00681D66">
          <w:rPr>
            <w:rStyle w:val="Hipervnculo"/>
            <w:rFonts w:asciiTheme="minorHAnsi" w:hAnsiTheme="minorHAnsi"/>
            <w:sz w:val="22"/>
            <w:szCs w:val="22"/>
          </w:rPr>
          <w:t>plainerzsuzsa@gmail.com</w:t>
        </w:r>
      </w:hyperlink>
    </w:p>
    <w:p w:rsidR="00524E08" w:rsidRDefault="00524E08" w:rsidP="0002692E">
      <w:pPr>
        <w:pStyle w:val="NormalWeb"/>
        <w:shd w:val="clear" w:color="auto" w:fill="FFFFFF"/>
        <w:spacing w:before="0" w:beforeAutospacing="0" w:after="0" w:afterAutospacing="0"/>
        <w:jc w:val="right"/>
        <w:textAlignment w:val="baseline"/>
        <w:rPr>
          <w:rFonts w:asciiTheme="minorHAnsi" w:hAnsiTheme="minorHAnsi"/>
          <w:color w:val="111111"/>
          <w:sz w:val="22"/>
          <w:szCs w:val="22"/>
        </w:rPr>
      </w:pPr>
    </w:p>
    <w:p w:rsidR="00524E08" w:rsidRPr="00EF7CBD" w:rsidRDefault="00524E08" w:rsidP="0002692E">
      <w:pPr>
        <w:pStyle w:val="NormalWeb"/>
        <w:shd w:val="clear" w:color="auto" w:fill="FFFFFF"/>
        <w:spacing w:before="0" w:beforeAutospacing="0" w:after="0" w:afterAutospacing="0"/>
        <w:jc w:val="right"/>
        <w:textAlignment w:val="baseline"/>
        <w:rPr>
          <w:rFonts w:asciiTheme="minorHAnsi" w:hAnsiTheme="minorHAnsi"/>
          <w:color w:val="111111"/>
          <w:sz w:val="22"/>
          <w:szCs w:val="22"/>
        </w:rPr>
      </w:pPr>
    </w:p>
    <w:p w:rsidR="00524E08" w:rsidRDefault="00EE700C" w:rsidP="0002692E">
      <w:pPr>
        <w:pStyle w:val="NormalWeb"/>
        <w:shd w:val="clear" w:color="auto" w:fill="FFFFFF"/>
        <w:spacing w:before="0" w:beforeAutospacing="0" w:after="388" w:afterAutospacing="0"/>
        <w:jc w:val="both"/>
        <w:textAlignment w:val="baseline"/>
        <w:rPr>
          <w:rFonts w:ascii="Verdana" w:hAnsi="Verdana"/>
          <w:color w:val="111111"/>
          <w:sz w:val="20"/>
          <w:szCs w:val="20"/>
        </w:rPr>
      </w:pPr>
      <w:r>
        <w:rPr>
          <w:rFonts w:ascii="Verdana" w:hAnsi="Verdana"/>
          <w:color w:val="111111"/>
          <w:sz w:val="20"/>
          <w:szCs w:val="20"/>
        </w:rPr>
        <w:t xml:space="preserve">Some theoretical accounts approach the </w:t>
      </w:r>
      <w:r w:rsidR="00524E08">
        <w:rPr>
          <w:rFonts w:ascii="Verdana" w:hAnsi="Verdana"/>
          <w:color w:val="111111"/>
          <w:sz w:val="20"/>
          <w:szCs w:val="20"/>
        </w:rPr>
        <w:t xml:space="preserve">notion of empowerment </w:t>
      </w:r>
      <w:r>
        <w:rPr>
          <w:rFonts w:ascii="Verdana" w:hAnsi="Verdana"/>
          <w:color w:val="111111"/>
          <w:sz w:val="20"/>
          <w:szCs w:val="20"/>
        </w:rPr>
        <w:t>within the dichotomic framework of two concept: personal agency and opportunity structure (Alsop – Heinson, 2005; Alsop – F</w:t>
      </w:r>
      <w:r w:rsidR="000918F5">
        <w:rPr>
          <w:rFonts w:ascii="Verdana" w:hAnsi="Verdana"/>
          <w:color w:val="111111"/>
          <w:sz w:val="20"/>
          <w:szCs w:val="20"/>
        </w:rPr>
        <w:t>orst Bertelsen – Holland, 2005);</w:t>
      </w:r>
      <w:r>
        <w:rPr>
          <w:rFonts w:ascii="Verdana" w:hAnsi="Verdana"/>
          <w:color w:val="111111"/>
          <w:sz w:val="20"/>
          <w:szCs w:val="20"/>
        </w:rPr>
        <w:t xml:space="preserve"> </w:t>
      </w:r>
      <w:r w:rsidR="003D7973">
        <w:rPr>
          <w:rFonts w:ascii="Verdana" w:hAnsi="Verdana"/>
          <w:color w:val="111111"/>
          <w:sz w:val="20"/>
          <w:szCs w:val="20"/>
        </w:rPr>
        <w:t>the former</w:t>
      </w:r>
      <w:r>
        <w:rPr>
          <w:rFonts w:ascii="Verdana" w:hAnsi="Verdana"/>
          <w:color w:val="111111"/>
          <w:sz w:val="20"/>
          <w:szCs w:val="20"/>
        </w:rPr>
        <w:t xml:space="preserve"> refers to personal assets (abi</w:t>
      </w:r>
      <w:r w:rsidR="003D7973">
        <w:rPr>
          <w:rFonts w:ascii="Verdana" w:hAnsi="Verdana"/>
          <w:color w:val="111111"/>
          <w:sz w:val="20"/>
          <w:szCs w:val="20"/>
        </w:rPr>
        <w:t>lities and capitals), the latter</w:t>
      </w:r>
      <w:r>
        <w:rPr>
          <w:rFonts w:ascii="Verdana" w:hAnsi="Verdana"/>
          <w:color w:val="111111"/>
          <w:sz w:val="20"/>
          <w:szCs w:val="20"/>
        </w:rPr>
        <w:t xml:space="preserve"> </w:t>
      </w:r>
      <w:r w:rsidR="000918F5">
        <w:rPr>
          <w:rFonts w:ascii="Verdana" w:hAnsi="Verdana"/>
          <w:color w:val="111111"/>
          <w:sz w:val="20"/>
          <w:szCs w:val="20"/>
        </w:rPr>
        <w:t xml:space="preserve">to </w:t>
      </w:r>
      <w:r w:rsidR="003D7973">
        <w:rPr>
          <w:rFonts w:ascii="Verdana" w:hAnsi="Verdana"/>
          <w:color w:val="111111"/>
          <w:sz w:val="20"/>
          <w:szCs w:val="20"/>
        </w:rPr>
        <w:t>(formal and informal) institutional contex</w:t>
      </w:r>
      <w:r w:rsidR="00D83F66">
        <w:rPr>
          <w:rFonts w:ascii="Verdana" w:hAnsi="Verdana"/>
          <w:color w:val="111111"/>
          <w:sz w:val="20"/>
          <w:szCs w:val="20"/>
        </w:rPr>
        <w:t>t</w:t>
      </w:r>
      <w:r w:rsidR="003D7973">
        <w:rPr>
          <w:rFonts w:ascii="Verdana" w:hAnsi="Verdana"/>
          <w:color w:val="111111"/>
          <w:sz w:val="20"/>
          <w:szCs w:val="20"/>
        </w:rPr>
        <w:t xml:space="preserve"> in which individual or group choices are made. However, the above-mentioned authors </w:t>
      </w:r>
      <w:r w:rsidR="00D06C6C">
        <w:rPr>
          <w:rFonts w:ascii="Verdana" w:hAnsi="Verdana"/>
          <w:color w:val="111111"/>
          <w:sz w:val="20"/>
          <w:szCs w:val="20"/>
        </w:rPr>
        <w:t>give a prec</w:t>
      </w:r>
      <w:r w:rsidR="00D83F66">
        <w:rPr>
          <w:rFonts w:ascii="Verdana" w:hAnsi="Verdana"/>
          <w:color w:val="111111"/>
          <w:sz w:val="20"/>
          <w:szCs w:val="20"/>
        </w:rPr>
        <w:t>ise definition of their notions</w:t>
      </w:r>
      <w:r w:rsidR="00D06C6C">
        <w:rPr>
          <w:rFonts w:ascii="Verdana" w:hAnsi="Verdana"/>
          <w:color w:val="111111"/>
          <w:sz w:val="20"/>
          <w:szCs w:val="20"/>
        </w:rPr>
        <w:t xml:space="preserve">, little is known about opportunity structure </w:t>
      </w:r>
      <w:r w:rsidR="00F13128">
        <w:rPr>
          <w:rFonts w:ascii="Verdana" w:hAnsi="Verdana"/>
          <w:color w:val="111111"/>
          <w:sz w:val="20"/>
          <w:szCs w:val="20"/>
        </w:rPr>
        <w:t xml:space="preserve">in </w:t>
      </w:r>
      <w:r w:rsidR="00D06C6C">
        <w:rPr>
          <w:rFonts w:ascii="Verdana" w:hAnsi="Verdana"/>
          <w:color w:val="111111"/>
          <w:sz w:val="20"/>
          <w:szCs w:val="20"/>
        </w:rPr>
        <w:t xml:space="preserve">relation to agency. Indeed, Alsop and co. mention that informal norms and beliefs may be in conflict with formal ones, still, these two are seen as constraints to the personal choices and aspirations (Alsop – Forst Bertelsen – Holland, 2005 p.3). This paper intends to show that informal opportunity structures are not neccesarily obstructing individual and group choices. If these are seen not only as a set of norms and values but a bunch of practices – as </w:t>
      </w:r>
      <w:r w:rsidR="00D83F66">
        <w:rPr>
          <w:rFonts w:ascii="Verdana" w:hAnsi="Verdana"/>
          <w:color w:val="111111"/>
          <w:sz w:val="20"/>
          <w:szCs w:val="20"/>
        </w:rPr>
        <w:t>many definitions of culture address</w:t>
      </w:r>
      <w:r w:rsidR="00D06C6C">
        <w:rPr>
          <w:rFonts w:ascii="Verdana" w:hAnsi="Verdana"/>
          <w:color w:val="111111"/>
          <w:sz w:val="20"/>
          <w:szCs w:val="20"/>
        </w:rPr>
        <w:t xml:space="preserve"> them – informality may be in line with collective aspirations</w:t>
      </w:r>
      <w:r w:rsidR="00D83F66">
        <w:rPr>
          <w:rFonts w:ascii="Verdana" w:hAnsi="Verdana"/>
          <w:color w:val="111111"/>
          <w:sz w:val="20"/>
          <w:szCs w:val="20"/>
        </w:rPr>
        <w:t xml:space="preserve"> of the group</w:t>
      </w:r>
      <w:r w:rsidR="00D06C6C">
        <w:rPr>
          <w:rFonts w:ascii="Verdana" w:hAnsi="Verdana"/>
          <w:color w:val="111111"/>
          <w:sz w:val="20"/>
          <w:szCs w:val="20"/>
        </w:rPr>
        <w:t xml:space="preserve"> and </w:t>
      </w:r>
      <w:r w:rsidR="00D83F66">
        <w:rPr>
          <w:rFonts w:ascii="Verdana" w:hAnsi="Verdana"/>
          <w:color w:val="111111"/>
          <w:sz w:val="20"/>
          <w:szCs w:val="20"/>
        </w:rPr>
        <w:t>this may obstruct formal reglementations that facilitate</w:t>
      </w:r>
      <w:r w:rsidR="00D06C6C">
        <w:rPr>
          <w:rFonts w:ascii="Verdana" w:hAnsi="Verdana"/>
          <w:color w:val="111111"/>
          <w:sz w:val="20"/>
          <w:szCs w:val="20"/>
        </w:rPr>
        <w:t xml:space="preserve"> empowerment. </w:t>
      </w:r>
    </w:p>
    <w:p w:rsidR="00D06C6C" w:rsidRDefault="00D06C6C" w:rsidP="0002692E">
      <w:pPr>
        <w:pStyle w:val="NormalWeb"/>
        <w:shd w:val="clear" w:color="auto" w:fill="FFFFFF"/>
        <w:spacing w:before="0" w:beforeAutospacing="0" w:after="388" w:afterAutospacing="0"/>
        <w:jc w:val="both"/>
        <w:textAlignment w:val="baseline"/>
        <w:rPr>
          <w:rFonts w:ascii="Verdana" w:hAnsi="Verdana"/>
          <w:color w:val="111111"/>
          <w:sz w:val="20"/>
          <w:szCs w:val="20"/>
        </w:rPr>
      </w:pPr>
      <w:r>
        <w:rPr>
          <w:rFonts w:ascii="Verdana" w:hAnsi="Verdana"/>
          <w:color w:val="111111"/>
          <w:sz w:val="20"/>
          <w:szCs w:val="20"/>
        </w:rPr>
        <w:t>To understand this, a hist</w:t>
      </w:r>
      <w:r w:rsidR="00D83F66">
        <w:rPr>
          <w:rFonts w:ascii="Verdana" w:hAnsi="Verdana"/>
          <w:color w:val="111111"/>
          <w:sz w:val="20"/>
          <w:szCs w:val="20"/>
        </w:rPr>
        <w:t>orical example is given:</w:t>
      </w:r>
      <w:r>
        <w:rPr>
          <w:rFonts w:ascii="Verdana" w:hAnsi="Verdana"/>
          <w:color w:val="111111"/>
          <w:sz w:val="20"/>
          <w:szCs w:val="20"/>
        </w:rPr>
        <w:t xml:space="preserve"> Roma policies of urbanization applied to a Roma community during the 1970-ies</w:t>
      </w:r>
      <w:r w:rsidR="000918F5">
        <w:rPr>
          <w:rFonts w:ascii="Verdana" w:hAnsi="Verdana"/>
          <w:color w:val="111111"/>
          <w:sz w:val="20"/>
          <w:szCs w:val="20"/>
        </w:rPr>
        <w:t>.</w:t>
      </w:r>
      <w:r w:rsidR="00F13128">
        <w:rPr>
          <w:rFonts w:ascii="Verdana" w:hAnsi="Verdana"/>
          <w:color w:val="111111"/>
          <w:sz w:val="20"/>
          <w:szCs w:val="20"/>
        </w:rPr>
        <w:t xml:space="preserve"> According to its offcial intentions, </w:t>
      </w:r>
      <w:r w:rsidR="000918F5">
        <w:rPr>
          <w:rFonts w:ascii="Verdana" w:hAnsi="Verdana"/>
          <w:color w:val="111111"/>
          <w:sz w:val="20"/>
          <w:szCs w:val="20"/>
        </w:rPr>
        <w:t xml:space="preserve">Law of systhematization </w:t>
      </w:r>
      <w:r w:rsidR="00F13128">
        <w:rPr>
          <w:rFonts w:ascii="Verdana" w:hAnsi="Verdana"/>
          <w:color w:val="111111"/>
          <w:sz w:val="20"/>
          <w:szCs w:val="20"/>
        </w:rPr>
        <w:t xml:space="preserve">was enacted to provide better living conditions to the citizens, in line with Communist </w:t>
      </w:r>
      <w:r w:rsidR="000918F5">
        <w:rPr>
          <w:rFonts w:ascii="Verdana" w:hAnsi="Verdana"/>
          <w:color w:val="111111"/>
          <w:sz w:val="20"/>
          <w:szCs w:val="20"/>
        </w:rPr>
        <w:t>Party Roma policies. I</w:t>
      </w:r>
      <w:r w:rsidR="00F13128">
        <w:rPr>
          <w:rFonts w:ascii="Verdana" w:hAnsi="Verdana"/>
          <w:color w:val="111111"/>
          <w:sz w:val="20"/>
          <w:szCs w:val="20"/>
        </w:rPr>
        <w:t>n case of a group of „Hungarian Roma” from the tow</w:t>
      </w:r>
      <w:r w:rsidR="000918F5">
        <w:rPr>
          <w:rFonts w:ascii="Verdana" w:hAnsi="Verdana"/>
          <w:color w:val="111111"/>
          <w:sz w:val="20"/>
          <w:szCs w:val="20"/>
        </w:rPr>
        <w:t>n Oradea</w:t>
      </w:r>
      <w:r w:rsidR="00F13128">
        <w:rPr>
          <w:rFonts w:ascii="Verdana" w:hAnsi="Verdana"/>
          <w:color w:val="111111"/>
          <w:sz w:val="20"/>
          <w:szCs w:val="20"/>
        </w:rPr>
        <w:t xml:space="preserve"> </w:t>
      </w:r>
      <w:r w:rsidR="000918F5">
        <w:rPr>
          <w:rFonts w:ascii="Verdana" w:hAnsi="Verdana"/>
          <w:color w:val="111111"/>
          <w:sz w:val="20"/>
          <w:szCs w:val="20"/>
        </w:rPr>
        <w:t>the reglementation</w:t>
      </w:r>
      <w:r w:rsidR="00D83F66">
        <w:rPr>
          <w:rFonts w:ascii="Verdana" w:hAnsi="Verdana"/>
          <w:color w:val="111111"/>
          <w:sz w:val="20"/>
          <w:szCs w:val="20"/>
        </w:rPr>
        <w:t xml:space="preserve"> </w:t>
      </w:r>
      <w:r w:rsidR="000918F5">
        <w:rPr>
          <w:rFonts w:ascii="Verdana" w:hAnsi="Verdana"/>
          <w:color w:val="111111"/>
          <w:sz w:val="20"/>
          <w:szCs w:val="20"/>
        </w:rPr>
        <w:t>enabled moving</w:t>
      </w:r>
      <w:r w:rsidR="00F13128">
        <w:rPr>
          <w:rFonts w:ascii="Verdana" w:hAnsi="Verdana"/>
          <w:color w:val="111111"/>
          <w:sz w:val="20"/>
          <w:szCs w:val="20"/>
        </w:rPr>
        <w:t xml:space="preserve"> out from adobe houses into blocks of flats w</w:t>
      </w:r>
      <w:r w:rsidR="00D83F66">
        <w:rPr>
          <w:rFonts w:ascii="Verdana" w:hAnsi="Verdana"/>
          <w:color w:val="111111"/>
          <w:sz w:val="20"/>
          <w:szCs w:val="20"/>
        </w:rPr>
        <w:t>i</w:t>
      </w:r>
      <w:r w:rsidR="000918F5">
        <w:rPr>
          <w:rFonts w:ascii="Verdana" w:hAnsi="Verdana"/>
          <w:color w:val="111111"/>
          <w:sz w:val="20"/>
          <w:szCs w:val="20"/>
        </w:rPr>
        <w:t>th running water and utilities, still, the</w:t>
      </w:r>
      <w:r w:rsidR="00F13128">
        <w:rPr>
          <w:rFonts w:ascii="Verdana" w:hAnsi="Verdana"/>
          <w:color w:val="111111"/>
          <w:sz w:val="20"/>
          <w:szCs w:val="20"/>
        </w:rPr>
        <w:t xml:space="preserve"> reglementation enhanced the making of an urban ghetto. It </w:t>
      </w:r>
      <w:r w:rsidR="000918F5">
        <w:rPr>
          <w:rFonts w:ascii="Verdana" w:hAnsi="Verdana"/>
          <w:color w:val="111111"/>
          <w:sz w:val="20"/>
          <w:szCs w:val="20"/>
        </w:rPr>
        <w:t xml:space="preserve">was </w:t>
      </w:r>
      <w:r w:rsidR="00F13128">
        <w:rPr>
          <w:rFonts w:ascii="Verdana" w:hAnsi="Verdana"/>
          <w:color w:val="111111"/>
          <w:sz w:val="20"/>
          <w:szCs w:val="20"/>
        </w:rPr>
        <w:t>so, as a series of economic practices were attached t</w:t>
      </w:r>
      <w:r w:rsidR="000918F5">
        <w:rPr>
          <w:rFonts w:ascii="Verdana" w:hAnsi="Verdana"/>
          <w:color w:val="111111"/>
          <w:sz w:val="20"/>
          <w:szCs w:val="20"/>
        </w:rPr>
        <w:t>o the formal living place, e.g.</w:t>
      </w:r>
      <w:r w:rsidR="00D83F66">
        <w:rPr>
          <w:rFonts w:ascii="Verdana" w:hAnsi="Verdana"/>
          <w:color w:val="111111"/>
          <w:sz w:val="20"/>
          <w:szCs w:val="20"/>
        </w:rPr>
        <w:t xml:space="preserve"> the possi</w:t>
      </w:r>
      <w:r w:rsidR="000918F5">
        <w:rPr>
          <w:rFonts w:ascii="Verdana" w:hAnsi="Verdana"/>
          <w:color w:val="111111"/>
          <w:sz w:val="20"/>
          <w:szCs w:val="20"/>
        </w:rPr>
        <w:t>bility of extending one’s house, performing services in the informal economy.</w:t>
      </w:r>
      <w:r w:rsidR="00D83F66">
        <w:rPr>
          <w:rFonts w:ascii="Verdana" w:hAnsi="Verdana"/>
          <w:color w:val="111111"/>
          <w:sz w:val="20"/>
          <w:szCs w:val="20"/>
        </w:rPr>
        <w:t xml:space="preserve"> </w:t>
      </w:r>
      <w:r w:rsidR="000918F5">
        <w:rPr>
          <w:rFonts w:ascii="Verdana" w:hAnsi="Verdana"/>
          <w:color w:val="111111"/>
          <w:sz w:val="20"/>
          <w:szCs w:val="20"/>
        </w:rPr>
        <w:t>T</w:t>
      </w:r>
      <w:r w:rsidR="00F13128">
        <w:rPr>
          <w:rFonts w:ascii="Verdana" w:hAnsi="Verdana"/>
          <w:color w:val="111111"/>
          <w:sz w:val="20"/>
          <w:szCs w:val="20"/>
        </w:rPr>
        <w:t xml:space="preserve">hus, being cut from previously </w:t>
      </w:r>
      <w:r w:rsidR="0090001E">
        <w:rPr>
          <w:rFonts w:ascii="Verdana" w:hAnsi="Verdana"/>
          <w:color w:val="111111"/>
          <w:sz w:val="20"/>
          <w:szCs w:val="20"/>
        </w:rPr>
        <w:t xml:space="preserve">existing assets, this empowerment </w:t>
      </w:r>
      <w:r w:rsidR="00F13128">
        <w:rPr>
          <w:rFonts w:ascii="Verdana" w:hAnsi="Verdana"/>
          <w:color w:val="111111"/>
          <w:sz w:val="20"/>
          <w:szCs w:val="20"/>
        </w:rPr>
        <w:t xml:space="preserve">engendered impowerishment of the local Roma. </w:t>
      </w:r>
    </w:p>
    <w:p w:rsidR="00524E08" w:rsidRDefault="00524E08" w:rsidP="0002692E">
      <w:pPr>
        <w:pStyle w:val="NormalWeb"/>
        <w:shd w:val="clear" w:color="auto" w:fill="FFFFFF"/>
        <w:spacing w:before="0" w:beforeAutospacing="0" w:after="388" w:afterAutospacing="0"/>
        <w:jc w:val="both"/>
        <w:textAlignment w:val="baseline"/>
        <w:rPr>
          <w:rFonts w:ascii="Verdana" w:hAnsi="Verdana"/>
          <w:color w:val="111111"/>
          <w:sz w:val="20"/>
          <w:szCs w:val="20"/>
        </w:rPr>
      </w:pPr>
    </w:p>
    <w:p w:rsidR="00333CC2" w:rsidRDefault="00333CC2"/>
    <w:sectPr w:rsidR="00333CC2" w:rsidSect="00333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92E"/>
    <w:rsid w:val="0002692E"/>
    <w:rsid w:val="000918F5"/>
    <w:rsid w:val="001E223A"/>
    <w:rsid w:val="00333CC2"/>
    <w:rsid w:val="003D7973"/>
    <w:rsid w:val="00524E08"/>
    <w:rsid w:val="005E5D02"/>
    <w:rsid w:val="008055AA"/>
    <w:rsid w:val="0090001E"/>
    <w:rsid w:val="00B1128F"/>
    <w:rsid w:val="00C45BA2"/>
    <w:rsid w:val="00CB232C"/>
    <w:rsid w:val="00D06C6C"/>
    <w:rsid w:val="00D83F66"/>
    <w:rsid w:val="00DE34B8"/>
    <w:rsid w:val="00DF0F2F"/>
    <w:rsid w:val="00EE700C"/>
    <w:rsid w:val="00EF7CBD"/>
    <w:rsid w:val="00F13128"/>
    <w:rsid w:val="00F44ABA"/>
    <w:rsid w:val="00F479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2692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Textoennegrita">
    <w:name w:val="Strong"/>
    <w:basedOn w:val="Fuentedeprrafopredeter"/>
    <w:uiPriority w:val="22"/>
    <w:qFormat/>
    <w:rsid w:val="0002692E"/>
    <w:rPr>
      <w:b/>
      <w:bCs/>
    </w:rPr>
  </w:style>
  <w:style w:type="character" w:styleId="nfasis">
    <w:name w:val="Emphasis"/>
    <w:basedOn w:val="Fuentedeprrafopredeter"/>
    <w:uiPriority w:val="20"/>
    <w:qFormat/>
    <w:rsid w:val="0002692E"/>
    <w:rPr>
      <w:i/>
      <w:iCs/>
    </w:rPr>
  </w:style>
  <w:style w:type="character" w:styleId="Hipervnculo">
    <w:name w:val="Hyperlink"/>
    <w:basedOn w:val="Fuentedeprrafopredeter"/>
    <w:uiPriority w:val="99"/>
    <w:unhideWhenUsed/>
    <w:rsid w:val="00524E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2692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Textoennegrita">
    <w:name w:val="Strong"/>
    <w:basedOn w:val="Fuentedeprrafopredeter"/>
    <w:uiPriority w:val="22"/>
    <w:qFormat/>
    <w:rsid w:val="0002692E"/>
    <w:rPr>
      <w:b/>
      <w:bCs/>
    </w:rPr>
  </w:style>
  <w:style w:type="character" w:styleId="nfasis">
    <w:name w:val="Emphasis"/>
    <w:basedOn w:val="Fuentedeprrafopredeter"/>
    <w:uiPriority w:val="20"/>
    <w:qFormat/>
    <w:rsid w:val="0002692E"/>
    <w:rPr>
      <w:i/>
      <w:iCs/>
    </w:rPr>
  </w:style>
  <w:style w:type="character" w:styleId="Hipervnculo">
    <w:name w:val="Hyperlink"/>
    <w:basedOn w:val="Fuentedeprrafopredeter"/>
    <w:uiPriority w:val="99"/>
    <w:unhideWhenUsed/>
    <w:rsid w:val="00524E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lainerzsuzs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1927</Characters>
  <Application>Microsoft Office Word</Application>
  <DocSecurity>0</DocSecurity>
  <Lines>16</Lines>
  <Paragraphs>4</Paragraphs>
  <ScaleCrop>false</ScaleCrop>
  <HeadingPairs>
    <vt:vector size="4" baseType="variant">
      <vt:variant>
        <vt:lpstr>Título</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PLAINER VALERIA</dc:creator>
  <cp:lastModifiedBy>Brukner Szikfrid</cp:lastModifiedBy>
  <cp:revision>2</cp:revision>
  <dcterms:created xsi:type="dcterms:W3CDTF">2016-10-18T07:14:00Z</dcterms:created>
  <dcterms:modified xsi:type="dcterms:W3CDTF">2016-10-18T07:14:00Z</dcterms:modified>
</cp:coreProperties>
</file>