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7429" w:rsidRDefault="00117429" w:rsidP="00117429">
      <w:pPr>
        <w:jc w:val="center"/>
        <w:rPr>
          <w:rFonts w:ascii="Adobe Devanagari" w:hAnsi="Adobe Devanagari" w:cs="Adobe Devanagari"/>
          <w:b/>
          <w:sz w:val="24"/>
          <w:szCs w:val="24"/>
          <w:u w:val="single"/>
        </w:rPr>
      </w:pPr>
      <w:r w:rsidRPr="00117429">
        <w:rPr>
          <w:rFonts w:ascii="Adobe Devanagari" w:hAnsi="Adobe Devanagari" w:cs="Adobe Devanagari"/>
          <w:b/>
          <w:sz w:val="24"/>
          <w:szCs w:val="24"/>
          <w:u w:val="single"/>
        </w:rPr>
        <w:t>XV Congreso de Antropología Valencia</w:t>
      </w:r>
      <w:r>
        <w:rPr>
          <w:rFonts w:ascii="Adobe Devanagari" w:hAnsi="Adobe Devanagari" w:cs="Adobe Devanagari"/>
          <w:b/>
          <w:sz w:val="24"/>
          <w:szCs w:val="24"/>
          <w:u w:val="single"/>
        </w:rPr>
        <w:t xml:space="preserve">. </w:t>
      </w:r>
    </w:p>
    <w:p w:rsidR="00117429" w:rsidRPr="000110D7" w:rsidRDefault="00117429" w:rsidP="000110D7">
      <w:pPr>
        <w:spacing w:before="100" w:beforeAutospacing="1" w:after="100" w:afterAutospacing="1" w:line="240" w:lineRule="auto"/>
        <w:jc w:val="center"/>
        <w:outlineLvl w:val="0"/>
        <w:rPr>
          <w:rFonts w:ascii="Adobe Devanagari" w:eastAsia="Times New Roman" w:hAnsi="Adobe Devanagari" w:cs="Adobe Devanagari"/>
          <w:b/>
          <w:bCs/>
          <w:i/>
          <w:kern w:val="36"/>
          <w:sz w:val="24"/>
          <w:szCs w:val="24"/>
          <w:u w:val="single"/>
          <w:lang w:eastAsia="es-CL"/>
        </w:rPr>
      </w:pPr>
      <w:r w:rsidRPr="000110D7">
        <w:rPr>
          <w:rFonts w:ascii="Adobe Devanagari" w:hAnsi="Adobe Devanagari" w:cs="Adobe Devanagari"/>
          <w:b/>
          <w:i/>
          <w:sz w:val="24"/>
          <w:szCs w:val="24"/>
          <w:u w:val="single"/>
        </w:rPr>
        <w:t xml:space="preserve">Simposio </w:t>
      </w:r>
      <w:proofErr w:type="spellStart"/>
      <w:r w:rsidRPr="000110D7">
        <w:rPr>
          <w:rFonts w:ascii="Adobe Devanagari" w:eastAsia="Times New Roman" w:hAnsi="Adobe Devanagari" w:cs="Adobe Devanagari"/>
          <w:b/>
          <w:bCs/>
          <w:i/>
          <w:kern w:val="36"/>
          <w:sz w:val="24"/>
          <w:szCs w:val="24"/>
          <w:u w:val="single"/>
          <w:lang w:eastAsia="es-CL"/>
        </w:rPr>
        <w:t>Etnografiando</w:t>
      </w:r>
      <w:proofErr w:type="spellEnd"/>
      <w:r w:rsidRPr="000110D7">
        <w:rPr>
          <w:rFonts w:ascii="Adobe Devanagari" w:eastAsia="Times New Roman" w:hAnsi="Adobe Devanagari" w:cs="Adobe Devanagari"/>
          <w:b/>
          <w:bCs/>
          <w:i/>
          <w:kern w:val="36"/>
          <w:sz w:val="24"/>
          <w:szCs w:val="24"/>
          <w:u w:val="single"/>
          <w:lang w:eastAsia="es-CL"/>
        </w:rPr>
        <w:t xml:space="preserve"> prácticas espirituales: sentido y compromiso frente a la utopía</w:t>
      </w:r>
    </w:p>
    <w:p w:rsidR="00117429" w:rsidRPr="00232687" w:rsidRDefault="000110D7" w:rsidP="00117429">
      <w:pPr>
        <w:jc w:val="center"/>
        <w:rPr>
          <w:rFonts w:ascii="Adobe Devanagari" w:hAnsi="Adobe Devanagari" w:cs="Adobe Devanagari"/>
          <w:b/>
          <w:i/>
          <w:sz w:val="24"/>
          <w:szCs w:val="24"/>
        </w:rPr>
      </w:pPr>
      <w:r w:rsidRPr="00232687">
        <w:rPr>
          <w:rFonts w:ascii="Adobe Devanagari" w:hAnsi="Adobe Devanagari" w:cs="Adobe Devanagari"/>
          <w:b/>
          <w:i/>
          <w:sz w:val="24"/>
          <w:szCs w:val="24"/>
        </w:rPr>
        <w:t>Carlos Piñones Rivera</w:t>
      </w:r>
    </w:p>
    <w:p w:rsidR="000110D7" w:rsidRPr="000110D7" w:rsidRDefault="000110D7" w:rsidP="00117429">
      <w:pPr>
        <w:jc w:val="center"/>
        <w:rPr>
          <w:rFonts w:ascii="Adobe Devanagari" w:hAnsi="Adobe Devanagari" w:cs="Adobe Devanagari"/>
          <w:b/>
          <w:sz w:val="24"/>
          <w:szCs w:val="24"/>
        </w:rPr>
      </w:pPr>
      <w:r>
        <w:rPr>
          <w:rFonts w:ascii="Adobe Devanagari" w:hAnsi="Adobe Devanagari" w:cs="Adobe Devanagari"/>
          <w:b/>
          <w:sz w:val="24"/>
          <w:szCs w:val="24"/>
        </w:rPr>
        <w:t>Inst</w:t>
      </w:r>
      <w:r w:rsidRPr="000110D7">
        <w:rPr>
          <w:rFonts w:ascii="Adobe Devanagari" w:hAnsi="Adobe Devanagari" w:cs="Adobe Devanagari"/>
          <w:b/>
          <w:sz w:val="24"/>
          <w:szCs w:val="24"/>
        </w:rPr>
        <w:t>ituto de Estudios Internacionales (INTE)</w:t>
      </w:r>
    </w:p>
    <w:p w:rsidR="000110D7" w:rsidRPr="000110D7" w:rsidRDefault="000110D7" w:rsidP="00117429">
      <w:pPr>
        <w:jc w:val="center"/>
        <w:rPr>
          <w:rFonts w:ascii="Adobe Devanagari" w:hAnsi="Adobe Devanagari" w:cs="Adobe Devanagari"/>
          <w:b/>
          <w:sz w:val="24"/>
          <w:szCs w:val="24"/>
        </w:rPr>
      </w:pPr>
      <w:r w:rsidRPr="000110D7">
        <w:rPr>
          <w:rFonts w:ascii="Adobe Devanagari" w:hAnsi="Adobe Devanagari" w:cs="Adobe Devanagari"/>
          <w:b/>
          <w:sz w:val="24"/>
          <w:szCs w:val="24"/>
        </w:rPr>
        <w:t>Universidad Arturo Prat, Iquique-Chile</w:t>
      </w:r>
    </w:p>
    <w:p w:rsidR="00033A4A" w:rsidRPr="00033A4A" w:rsidRDefault="00033A4A" w:rsidP="00033A4A">
      <w:pPr>
        <w:jc w:val="both"/>
        <w:rPr>
          <w:rFonts w:ascii="Adobe Devanagari" w:hAnsi="Adobe Devanagari" w:cs="Adobe Devanagari"/>
          <w:sz w:val="24"/>
          <w:szCs w:val="24"/>
        </w:rPr>
      </w:pPr>
      <w:r w:rsidRPr="00033A4A">
        <w:rPr>
          <w:rFonts w:ascii="Adobe Devanagari" w:hAnsi="Adobe Devanagari" w:cs="Adobe Devanagari"/>
          <w:sz w:val="24"/>
          <w:szCs w:val="24"/>
        </w:rPr>
        <w:t xml:space="preserve">Uno de los elementos soslayados en la bibliografía sobre el Proceso Salud/Enfermedad/Atención de los </w:t>
      </w:r>
      <w:r>
        <w:rPr>
          <w:rFonts w:ascii="Adobe Devanagari" w:hAnsi="Adobe Devanagari" w:cs="Adobe Devanagari"/>
          <w:sz w:val="24"/>
          <w:szCs w:val="24"/>
        </w:rPr>
        <w:t>A</w:t>
      </w:r>
      <w:r w:rsidRPr="00033A4A">
        <w:rPr>
          <w:rFonts w:ascii="Adobe Devanagari" w:hAnsi="Adobe Devanagari" w:cs="Adobe Devanagari"/>
          <w:sz w:val="24"/>
          <w:szCs w:val="24"/>
        </w:rPr>
        <w:t xml:space="preserve">ymaras ha sido el potencial explicativo de las categorías </w:t>
      </w:r>
      <w:r>
        <w:rPr>
          <w:rFonts w:ascii="Adobe Devanagari" w:hAnsi="Adobe Devanagari" w:cs="Adobe Devanagari"/>
          <w:sz w:val="24"/>
          <w:szCs w:val="24"/>
        </w:rPr>
        <w:t>locales de “</w:t>
      </w:r>
      <w:r w:rsidRPr="00033A4A">
        <w:rPr>
          <w:rFonts w:ascii="Adobe Devanagari" w:hAnsi="Adobe Devanagari" w:cs="Adobe Devanagari"/>
          <w:sz w:val="24"/>
          <w:szCs w:val="24"/>
        </w:rPr>
        <w:t>mala hora</w:t>
      </w:r>
      <w:r>
        <w:rPr>
          <w:rFonts w:ascii="Adobe Devanagari" w:hAnsi="Adobe Devanagari" w:cs="Adobe Devanagari"/>
          <w:sz w:val="24"/>
          <w:szCs w:val="24"/>
        </w:rPr>
        <w:t>”</w:t>
      </w:r>
      <w:r w:rsidRPr="00033A4A">
        <w:rPr>
          <w:rFonts w:ascii="Adobe Devanagari" w:hAnsi="Adobe Devanagari" w:cs="Adobe Devanagari"/>
          <w:sz w:val="24"/>
          <w:szCs w:val="24"/>
        </w:rPr>
        <w:t xml:space="preserve"> y </w:t>
      </w:r>
      <w:r>
        <w:rPr>
          <w:rFonts w:ascii="Adobe Devanagari" w:hAnsi="Adobe Devanagari" w:cs="Adobe Devanagari"/>
          <w:sz w:val="24"/>
          <w:szCs w:val="24"/>
        </w:rPr>
        <w:t>“</w:t>
      </w:r>
      <w:r w:rsidRPr="00033A4A">
        <w:rPr>
          <w:rFonts w:ascii="Adobe Devanagari" w:hAnsi="Adobe Devanagari" w:cs="Adobe Devanagari"/>
          <w:sz w:val="24"/>
          <w:szCs w:val="24"/>
        </w:rPr>
        <w:t>mal paraje</w:t>
      </w:r>
      <w:r>
        <w:rPr>
          <w:rFonts w:ascii="Adobe Devanagari" w:hAnsi="Adobe Devanagari" w:cs="Adobe Devanagari"/>
          <w:sz w:val="24"/>
          <w:szCs w:val="24"/>
        </w:rPr>
        <w:t>”</w:t>
      </w:r>
      <w:r w:rsidRPr="00033A4A">
        <w:rPr>
          <w:rFonts w:ascii="Adobe Devanagari" w:hAnsi="Adobe Devanagari" w:cs="Adobe Devanagari"/>
          <w:sz w:val="24"/>
          <w:szCs w:val="24"/>
        </w:rPr>
        <w:t>. Esto contrasta fuertemente con su ubicuidad en la explicación que las comunidades de la región de Tarapacá-Chile</w:t>
      </w:r>
      <w:r w:rsidR="009B0351">
        <w:rPr>
          <w:rFonts w:ascii="Adobe Devanagari" w:hAnsi="Adobe Devanagari" w:cs="Adobe Devanagari"/>
          <w:sz w:val="24"/>
          <w:szCs w:val="24"/>
        </w:rPr>
        <w:t>,</w:t>
      </w:r>
      <w:r w:rsidRPr="00033A4A">
        <w:rPr>
          <w:rFonts w:ascii="Adobe Devanagari" w:hAnsi="Adobe Devanagari" w:cs="Adobe Devanagari"/>
          <w:sz w:val="24"/>
          <w:szCs w:val="24"/>
        </w:rPr>
        <w:t xml:space="preserve"> hacen de ciertas enfermedades que regularmente son atendidas por los yatirinaja. ¿Cómo entender este escotoma teórico?</w:t>
      </w:r>
    </w:p>
    <w:p w:rsidR="00033A4A" w:rsidRPr="00033A4A" w:rsidRDefault="00033A4A" w:rsidP="00033A4A">
      <w:pPr>
        <w:jc w:val="both"/>
        <w:rPr>
          <w:rFonts w:ascii="Adobe Devanagari" w:hAnsi="Adobe Devanagari" w:cs="Adobe Devanagari"/>
          <w:sz w:val="24"/>
          <w:szCs w:val="24"/>
        </w:rPr>
      </w:pPr>
      <w:r w:rsidRPr="00033A4A">
        <w:rPr>
          <w:rFonts w:ascii="Adobe Devanagari" w:hAnsi="Adobe Devanagari" w:cs="Adobe Devanagari"/>
          <w:sz w:val="24"/>
          <w:szCs w:val="24"/>
        </w:rPr>
        <w:t xml:space="preserve">La hipótesis que fraguamos en la elaboración de nuestra tesis doctoral, es que la sistemática obliteración de los conceptos de </w:t>
      </w:r>
      <w:r w:rsidR="001C5A15">
        <w:rPr>
          <w:rFonts w:ascii="Adobe Devanagari" w:hAnsi="Adobe Devanagari" w:cs="Adobe Devanagari"/>
          <w:sz w:val="24"/>
          <w:szCs w:val="24"/>
        </w:rPr>
        <w:t>“</w:t>
      </w:r>
      <w:r w:rsidRPr="00033A4A">
        <w:rPr>
          <w:rFonts w:ascii="Adobe Devanagari" w:hAnsi="Adobe Devanagari" w:cs="Adobe Devanagari"/>
          <w:sz w:val="24"/>
          <w:szCs w:val="24"/>
        </w:rPr>
        <w:t>mala hora</w:t>
      </w:r>
      <w:r w:rsidR="001C5A15">
        <w:rPr>
          <w:rFonts w:ascii="Adobe Devanagari" w:hAnsi="Adobe Devanagari" w:cs="Adobe Devanagari"/>
          <w:sz w:val="24"/>
          <w:szCs w:val="24"/>
        </w:rPr>
        <w:t>”</w:t>
      </w:r>
      <w:r w:rsidRPr="00033A4A">
        <w:rPr>
          <w:rFonts w:ascii="Adobe Devanagari" w:hAnsi="Adobe Devanagari" w:cs="Adobe Devanagari"/>
          <w:sz w:val="24"/>
          <w:szCs w:val="24"/>
        </w:rPr>
        <w:t xml:space="preserve"> y </w:t>
      </w:r>
      <w:r w:rsidR="001C5A15">
        <w:rPr>
          <w:rFonts w:ascii="Adobe Devanagari" w:hAnsi="Adobe Devanagari" w:cs="Adobe Devanagari"/>
          <w:sz w:val="24"/>
          <w:szCs w:val="24"/>
        </w:rPr>
        <w:t>“</w:t>
      </w:r>
      <w:r w:rsidRPr="00033A4A">
        <w:rPr>
          <w:rFonts w:ascii="Adobe Devanagari" w:hAnsi="Adobe Devanagari" w:cs="Adobe Devanagari"/>
          <w:sz w:val="24"/>
          <w:szCs w:val="24"/>
        </w:rPr>
        <w:t>mal paraje</w:t>
      </w:r>
      <w:r w:rsidR="001C5A15">
        <w:rPr>
          <w:rFonts w:ascii="Adobe Devanagari" w:hAnsi="Adobe Devanagari" w:cs="Adobe Devanagari"/>
          <w:sz w:val="24"/>
          <w:szCs w:val="24"/>
        </w:rPr>
        <w:t>”</w:t>
      </w:r>
      <w:r w:rsidRPr="00033A4A">
        <w:rPr>
          <w:rFonts w:ascii="Adobe Devanagari" w:hAnsi="Adobe Devanagari" w:cs="Adobe Devanagari"/>
          <w:sz w:val="24"/>
          <w:szCs w:val="24"/>
        </w:rPr>
        <w:t xml:space="preserve"> se basan en la reproducción de </w:t>
      </w:r>
      <w:r w:rsidR="001C5A15">
        <w:rPr>
          <w:rFonts w:ascii="Adobe Devanagari" w:hAnsi="Adobe Devanagari" w:cs="Adobe Devanagari"/>
          <w:sz w:val="24"/>
          <w:szCs w:val="24"/>
        </w:rPr>
        <w:t>ciertos supuestos ideológicos</w:t>
      </w:r>
      <w:r w:rsidR="00F61CE8">
        <w:rPr>
          <w:rFonts w:ascii="Adobe Devanagari" w:hAnsi="Adobe Devanagari" w:cs="Adobe Devanagari"/>
          <w:sz w:val="24"/>
          <w:szCs w:val="24"/>
        </w:rPr>
        <w:t xml:space="preserve"> (ontológicos, epistemológicos, axiológicos, etc.)</w:t>
      </w:r>
      <w:r w:rsidR="00D23775">
        <w:rPr>
          <w:rFonts w:ascii="Adobe Devanagari" w:hAnsi="Adobe Devanagari" w:cs="Adobe Devanagari"/>
          <w:sz w:val="24"/>
          <w:szCs w:val="24"/>
        </w:rPr>
        <w:t xml:space="preserve"> constituyendo un</w:t>
      </w:r>
      <w:r w:rsidRPr="00033A4A">
        <w:rPr>
          <w:rFonts w:ascii="Adobe Devanagari" w:hAnsi="Adobe Devanagari" w:cs="Adobe Devanagari"/>
          <w:sz w:val="24"/>
          <w:szCs w:val="24"/>
        </w:rPr>
        <w:t xml:space="preserve"> tipo de violencia teórica específica</w:t>
      </w:r>
      <w:r w:rsidR="00D23775">
        <w:rPr>
          <w:rFonts w:ascii="Adobe Devanagari" w:hAnsi="Adobe Devanagari" w:cs="Adobe Devanagari"/>
          <w:sz w:val="24"/>
          <w:szCs w:val="24"/>
        </w:rPr>
        <w:t xml:space="preserve"> </w:t>
      </w:r>
      <w:r w:rsidRPr="00033A4A">
        <w:rPr>
          <w:rFonts w:ascii="Adobe Devanagari" w:hAnsi="Adobe Devanagari" w:cs="Adobe Devanagari"/>
          <w:sz w:val="24"/>
          <w:szCs w:val="24"/>
        </w:rPr>
        <w:t xml:space="preserve">que aquí llamamos </w:t>
      </w:r>
      <w:r w:rsidRPr="001C5A15">
        <w:rPr>
          <w:rFonts w:ascii="Adobe Devanagari" w:hAnsi="Adobe Devanagari" w:cs="Adobe Devanagari"/>
          <w:i/>
          <w:sz w:val="24"/>
          <w:szCs w:val="24"/>
        </w:rPr>
        <w:t>violencia naturalista</w:t>
      </w:r>
      <w:r w:rsidRPr="00033A4A">
        <w:rPr>
          <w:rFonts w:ascii="Adobe Devanagari" w:hAnsi="Adobe Devanagari" w:cs="Adobe Devanagari"/>
          <w:sz w:val="24"/>
          <w:szCs w:val="24"/>
        </w:rPr>
        <w:t>. Entendiendo que los saberes médicos son producciones ideológicas y que en el terreno del pluralismo médico ellos se disp</w:t>
      </w:r>
      <w:r w:rsidR="000061F3">
        <w:rPr>
          <w:rFonts w:ascii="Adobe Devanagari" w:hAnsi="Adobe Devanagari" w:cs="Adobe Devanagari"/>
          <w:sz w:val="24"/>
          <w:szCs w:val="24"/>
        </w:rPr>
        <w:t>utan la hegemonía respecto del Proceso Salud/Enfermedad/A</w:t>
      </w:r>
      <w:r w:rsidRPr="00033A4A">
        <w:rPr>
          <w:rFonts w:ascii="Adobe Devanagari" w:hAnsi="Adobe Devanagari" w:cs="Adobe Devanagari"/>
          <w:sz w:val="24"/>
          <w:szCs w:val="24"/>
        </w:rPr>
        <w:t>tención, nos preocupa que a través de esta violencia naturalista las aproximaciones antropológicas se muestren solidarias con los objetivos de hegemonización biomédicas.</w:t>
      </w:r>
    </w:p>
    <w:p w:rsidR="00033A4A" w:rsidRPr="00033A4A" w:rsidRDefault="00033A4A" w:rsidP="00033A4A">
      <w:pPr>
        <w:jc w:val="both"/>
        <w:rPr>
          <w:rFonts w:ascii="Adobe Devanagari" w:hAnsi="Adobe Devanagari" w:cs="Adobe Devanagari"/>
          <w:sz w:val="24"/>
          <w:szCs w:val="24"/>
        </w:rPr>
      </w:pPr>
      <w:r w:rsidRPr="00033A4A">
        <w:rPr>
          <w:rFonts w:ascii="Adobe Devanagari" w:hAnsi="Adobe Devanagari" w:cs="Adobe Devanagari"/>
          <w:sz w:val="24"/>
          <w:szCs w:val="24"/>
        </w:rPr>
        <w:t>Lo que sigue</w:t>
      </w:r>
      <w:r w:rsidR="00D77FD2">
        <w:rPr>
          <w:rFonts w:ascii="Adobe Devanagari" w:hAnsi="Adobe Devanagari" w:cs="Adobe Devanagari"/>
          <w:sz w:val="24"/>
          <w:szCs w:val="24"/>
        </w:rPr>
        <w:t>,</w:t>
      </w:r>
      <w:r w:rsidRPr="00033A4A">
        <w:rPr>
          <w:rFonts w:ascii="Adobe Devanagari" w:hAnsi="Adobe Devanagari" w:cs="Adobe Devanagari"/>
          <w:sz w:val="24"/>
          <w:szCs w:val="24"/>
        </w:rPr>
        <w:t xml:space="preserve"> por tanto, es un</w:t>
      </w:r>
      <w:r w:rsidR="00A24CDD">
        <w:rPr>
          <w:rFonts w:ascii="Adobe Devanagari" w:hAnsi="Adobe Devanagari" w:cs="Adobe Devanagari"/>
          <w:sz w:val="24"/>
          <w:szCs w:val="24"/>
        </w:rPr>
        <w:t xml:space="preserve"> análisis </w:t>
      </w:r>
      <w:r w:rsidRPr="00033A4A">
        <w:rPr>
          <w:rFonts w:ascii="Adobe Devanagari" w:hAnsi="Adobe Devanagari" w:cs="Adobe Devanagari"/>
          <w:sz w:val="24"/>
          <w:szCs w:val="24"/>
        </w:rPr>
        <w:t xml:space="preserve">de aquello en </w:t>
      </w:r>
      <w:proofErr w:type="spellStart"/>
      <w:r w:rsidRPr="00033A4A">
        <w:rPr>
          <w:rFonts w:ascii="Adobe Devanagari" w:hAnsi="Adobe Devanagari" w:cs="Adobe Devanagari"/>
          <w:sz w:val="24"/>
          <w:szCs w:val="24"/>
        </w:rPr>
        <w:t>qu</w:t>
      </w:r>
      <w:r w:rsidR="00532179">
        <w:rPr>
          <w:rFonts w:ascii="Adobe Devanagari" w:hAnsi="Adobe Devanagari" w:cs="Adobe Devanagari"/>
          <w:sz w:val="24"/>
          <w:szCs w:val="24"/>
        </w:rPr>
        <w:t>e</w:t>
      </w:r>
      <w:proofErr w:type="spellEnd"/>
      <w:r w:rsidRPr="00033A4A">
        <w:rPr>
          <w:rFonts w:ascii="Adobe Devanagari" w:hAnsi="Adobe Devanagari" w:cs="Adobe Devanagari"/>
          <w:sz w:val="24"/>
          <w:szCs w:val="24"/>
        </w:rPr>
        <w:t xml:space="preserve"> consistiría dicha </w:t>
      </w:r>
      <w:r w:rsidRPr="007F7020">
        <w:rPr>
          <w:rFonts w:ascii="Adobe Devanagari" w:hAnsi="Adobe Devanagari" w:cs="Adobe Devanagari"/>
          <w:i/>
          <w:sz w:val="24"/>
          <w:szCs w:val="24"/>
        </w:rPr>
        <w:t>violencia naturalista</w:t>
      </w:r>
      <w:r w:rsidRPr="00033A4A">
        <w:rPr>
          <w:rFonts w:ascii="Adobe Devanagari" w:hAnsi="Adobe Devanagari" w:cs="Adobe Devanagari"/>
          <w:sz w:val="24"/>
          <w:szCs w:val="24"/>
        </w:rPr>
        <w:t xml:space="preserve">, </w:t>
      </w:r>
      <w:r w:rsidR="00473521">
        <w:rPr>
          <w:rFonts w:ascii="Adobe Devanagari" w:hAnsi="Adobe Devanagari" w:cs="Adobe Devanagari"/>
          <w:sz w:val="24"/>
          <w:szCs w:val="24"/>
        </w:rPr>
        <w:t xml:space="preserve">a través de </w:t>
      </w:r>
      <w:r w:rsidRPr="00033A4A">
        <w:rPr>
          <w:rFonts w:ascii="Adobe Devanagari" w:hAnsi="Adobe Devanagari" w:cs="Adobe Devanagari"/>
          <w:sz w:val="24"/>
          <w:szCs w:val="24"/>
        </w:rPr>
        <w:t xml:space="preserve">una caracterización de los principales </w:t>
      </w:r>
      <w:r w:rsidRPr="007F7020">
        <w:rPr>
          <w:rFonts w:ascii="Adobe Devanagari" w:hAnsi="Adobe Devanagari" w:cs="Adobe Devanagari"/>
          <w:i/>
          <w:sz w:val="24"/>
          <w:szCs w:val="24"/>
        </w:rPr>
        <w:t>obstáculos naturalistas</w:t>
      </w:r>
      <w:r w:rsidRPr="00033A4A">
        <w:rPr>
          <w:rFonts w:ascii="Adobe Devanagari" w:hAnsi="Adobe Devanagari" w:cs="Adobe Devanagari"/>
          <w:sz w:val="24"/>
          <w:szCs w:val="24"/>
        </w:rPr>
        <w:t xml:space="preserve"> que debimos superar para </w:t>
      </w:r>
      <w:r w:rsidR="002E772D">
        <w:rPr>
          <w:rFonts w:ascii="Adobe Devanagari" w:hAnsi="Adobe Devanagari" w:cs="Adobe Devanagari"/>
          <w:sz w:val="24"/>
          <w:szCs w:val="24"/>
        </w:rPr>
        <w:t xml:space="preserve">alcanzar nuestra </w:t>
      </w:r>
      <w:r w:rsidR="00FA57CF">
        <w:rPr>
          <w:rFonts w:ascii="Adobe Devanagari" w:hAnsi="Adobe Devanagari" w:cs="Adobe Devanagari"/>
          <w:sz w:val="24"/>
          <w:szCs w:val="24"/>
        </w:rPr>
        <w:t>comprensión actual</w:t>
      </w:r>
      <w:r w:rsidR="002E772D">
        <w:rPr>
          <w:rFonts w:ascii="Adobe Devanagari" w:hAnsi="Adobe Devanagari" w:cs="Adobe Devanagari"/>
          <w:sz w:val="24"/>
          <w:szCs w:val="24"/>
        </w:rPr>
        <w:t xml:space="preserve"> </w:t>
      </w:r>
      <w:r w:rsidRPr="00033A4A">
        <w:rPr>
          <w:rFonts w:ascii="Adobe Devanagari" w:hAnsi="Adobe Devanagari" w:cs="Adobe Devanagari"/>
          <w:sz w:val="24"/>
          <w:szCs w:val="24"/>
        </w:rPr>
        <w:t xml:space="preserve">del saber médico de los yatirinaja: obstáculos en cuanto a las “entidades”, a las “relaciones” y al “espacio/tiempo”. </w:t>
      </w:r>
    </w:p>
    <w:p w:rsidR="004F1CFE" w:rsidRPr="00033A4A" w:rsidRDefault="00033A4A" w:rsidP="00033A4A">
      <w:pPr>
        <w:jc w:val="both"/>
        <w:rPr>
          <w:rFonts w:ascii="Adobe Devanagari" w:hAnsi="Adobe Devanagari" w:cs="Adobe Devanagari"/>
          <w:sz w:val="24"/>
          <w:szCs w:val="24"/>
        </w:rPr>
      </w:pPr>
      <w:r w:rsidRPr="00033A4A">
        <w:rPr>
          <w:rFonts w:ascii="Adobe Devanagari" w:hAnsi="Adobe Devanagari" w:cs="Adobe Devanagari"/>
          <w:sz w:val="24"/>
          <w:szCs w:val="24"/>
        </w:rPr>
        <w:t xml:space="preserve">El recorrido nos permitirá desarrollar los conceptos locales de “mala hora” y de “mal paraje”, mostrando como desbordan y se desmarcan de las concepciones naturalistas, y nos permitirá aportar elementos para comprender por qué estos conceptos, centrales en la explicación de las causas de la enfermedad en el saber de los yatiris de Tarapacá, no había sido desarrollado previamente por otros investigadores.   </w:t>
      </w:r>
      <w:bookmarkStart w:id="0" w:name="_GoBack"/>
      <w:bookmarkEnd w:id="0"/>
    </w:p>
    <w:sectPr w:rsidR="004F1CFE" w:rsidRPr="00033A4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obe Devanagari">
    <w:panose1 w:val="00000000000000000000"/>
    <w:charset w:val="00"/>
    <w:family w:val="roman"/>
    <w:notTrueType/>
    <w:pitch w:val="variable"/>
    <w:sig w:usb0="A00080E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A4A"/>
    <w:rsid w:val="000061F3"/>
    <w:rsid w:val="000110D7"/>
    <w:rsid w:val="00033A4A"/>
    <w:rsid w:val="00117429"/>
    <w:rsid w:val="001C5A15"/>
    <w:rsid w:val="00232687"/>
    <w:rsid w:val="002E772D"/>
    <w:rsid w:val="00473521"/>
    <w:rsid w:val="00532179"/>
    <w:rsid w:val="00714563"/>
    <w:rsid w:val="007F7020"/>
    <w:rsid w:val="009B0351"/>
    <w:rsid w:val="00A24CDD"/>
    <w:rsid w:val="00C36F86"/>
    <w:rsid w:val="00D23775"/>
    <w:rsid w:val="00D77FD2"/>
    <w:rsid w:val="00F61CE8"/>
    <w:rsid w:val="00FA57C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9E40B0-C0D2-4A08-AAC0-D166E486B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328</Words>
  <Characters>1808</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dc:creator>
  <cp:keywords/>
  <dc:description/>
  <cp:lastModifiedBy>Carlos</cp:lastModifiedBy>
  <cp:revision>10</cp:revision>
  <dcterms:created xsi:type="dcterms:W3CDTF">2016-10-14T10:28:00Z</dcterms:created>
  <dcterms:modified xsi:type="dcterms:W3CDTF">2016-10-14T15:25:00Z</dcterms:modified>
</cp:coreProperties>
</file>