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54E" w:rsidRPr="00DC754E" w:rsidRDefault="00DC754E" w:rsidP="00DC754E">
      <w:pPr>
        <w:spacing w:after="200" w:line="360" w:lineRule="auto"/>
        <w:jc w:val="both"/>
        <w:rPr>
          <w:rFonts w:ascii="Times New Roman" w:eastAsia="Calibri" w:hAnsi="Times New Roman" w:cs="Times New Roman"/>
          <w:sz w:val="24"/>
          <w:szCs w:val="24"/>
        </w:rPr>
      </w:pPr>
    </w:p>
    <w:p w:rsidR="00DC754E" w:rsidRPr="00055E59" w:rsidRDefault="002379D0" w:rsidP="00DC754E">
      <w:pPr>
        <w:spacing w:after="200" w:line="36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“Por la ventana de la cocina</w:t>
      </w:r>
      <w:r w:rsidR="00DC754E" w:rsidRPr="00055E59">
        <w:rPr>
          <w:rFonts w:ascii="Times New Roman" w:eastAsia="Calibri" w:hAnsi="Times New Roman" w:cs="Times New Roman"/>
          <w:b/>
          <w:sz w:val="24"/>
          <w:szCs w:val="24"/>
          <w:lang w:val="es-ES"/>
        </w:rPr>
        <w:t>”</w:t>
      </w:r>
      <w:r w:rsidR="00055E59" w:rsidRPr="00055E59">
        <w:rPr>
          <w:rFonts w:ascii="Times New Roman" w:eastAsia="Calibri" w:hAnsi="Times New Roman" w:cs="Times New Roman"/>
          <w:b/>
          <w:sz w:val="24"/>
          <w:szCs w:val="24"/>
          <w:lang w:val="es-ES"/>
        </w:rPr>
        <w:t>:</w:t>
      </w:r>
      <w:r>
        <w:rPr>
          <w:rFonts w:ascii="Times New Roman" w:eastAsia="Calibri" w:hAnsi="Times New Roman" w:cs="Times New Roman"/>
          <w:b/>
          <w:sz w:val="24"/>
          <w:szCs w:val="24"/>
          <w:lang w:val="es-ES"/>
        </w:rPr>
        <w:t xml:space="preserve"> </w:t>
      </w:r>
      <w:r w:rsidR="00055E59" w:rsidRPr="00055E59">
        <w:rPr>
          <w:rFonts w:ascii="Times New Roman" w:eastAsia="Calibri" w:hAnsi="Times New Roman" w:cs="Times New Roman"/>
          <w:b/>
          <w:sz w:val="24"/>
          <w:szCs w:val="24"/>
          <w:lang w:val="es-ES"/>
        </w:rPr>
        <w:t xml:space="preserve"> </w:t>
      </w:r>
      <w:r>
        <w:rPr>
          <w:rFonts w:ascii="Times New Roman" w:eastAsia="Calibri" w:hAnsi="Times New Roman" w:cs="Times New Roman"/>
          <w:b/>
          <w:sz w:val="24"/>
          <w:szCs w:val="24"/>
          <w:lang w:val="es-ES"/>
        </w:rPr>
        <w:t xml:space="preserve"> la comida y </w:t>
      </w:r>
      <w:r w:rsidR="00055E59" w:rsidRPr="00055E59">
        <w:rPr>
          <w:rFonts w:ascii="Times New Roman" w:eastAsia="Calibri" w:hAnsi="Times New Roman" w:cs="Times New Roman"/>
          <w:b/>
          <w:sz w:val="24"/>
          <w:szCs w:val="24"/>
          <w:lang w:val="es-ES"/>
        </w:rPr>
        <w:t xml:space="preserve">la tejeduría como estética de </w:t>
      </w:r>
      <w:r w:rsidR="00055E59">
        <w:rPr>
          <w:rFonts w:ascii="Times New Roman" w:eastAsia="Calibri" w:hAnsi="Times New Roman" w:cs="Times New Roman"/>
          <w:b/>
          <w:sz w:val="24"/>
          <w:szCs w:val="24"/>
          <w:lang w:val="es-ES"/>
        </w:rPr>
        <w:t>resiste</w:t>
      </w:r>
      <w:r w:rsidR="00055E59" w:rsidRPr="00055E59">
        <w:rPr>
          <w:rFonts w:ascii="Times New Roman" w:eastAsia="Calibri" w:hAnsi="Times New Roman" w:cs="Times New Roman"/>
          <w:b/>
          <w:sz w:val="24"/>
          <w:szCs w:val="24"/>
          <w:lang w:val="es-ES"/>
        </w:rPr>
        <w:t xml:space="preserve">ncia en el arte </w:t>
      </w:r>
      <w:r w:rsidR="00055E59">
        <w:rPr>
          <w:rFonts w:ascii="Times New Roman" w:eastAsia="Calibri" w:hAnsi="Times New Roman" w:cs="Times New Roman"/>
          <w:b/>
          <w:sz w:val="24"/>
          <w:szCs w:val="24"/>
          <w:lang w:val="es-ES"/>
        </w:rPr>
        <w:t>femenina</w:t>
      </w:r>
    </w:p>
    <w:p w:rsidR="003F547F" w:rsidRPr="00A71E54" w:rsidRDefault="00DC754E" w:rsidP="003F547F">
      <w:pPr>
        <w:spacing w:after="200" w:line="360" w:lineRule="auto"/>
        <w:jc w:val="both"/>
        <w:rPr>
          <w:rFonts w:ascii="Times New Roman" w:eastAsia="Calibri" w:hAnsi="Times New Roman" w:cs="Times New Roman"/>
          <w:bCs/>
          <w:sz w:val="24"/>
          <w:szCs w:val="24"/>
          <w:lang w:val="ca-ES"/>
        </w:rPr>
      </w:pPr>
      <w:r w:rsidRPr="00DC754E">
        <w:rPr>
          <w:rFonts w:ascii="Times New Roman" w:eastAsia="Calibri" w:hAnsi="Times New Roman" w:cs="Times New Roman"/>
          <w:sz w:val="24"/>
          <w:szCs w:val="24"/>
          <w:lang w:val="es-ES"/>
        </w:rPr>
        <w:t xml:space="preserve">"Las mujeres sólo ofrecen paradojas y no problemas fáciles de resolver ", escribió </w:t>
      </w:r>
      <w:proofErr w:type="spellStart"/>
      <w:r w:rsidRPr="00DC754E">
        <w:rPr>
          <w:rFonts w:ascii="Times New Roman" w:eastAsia="Calibri" w:hAnsi="Times New Roman" w:cs="Times New Roman"/>
          <w:sz w:val="24"/>
          <w:szCs w:val="24"/>
          <w:lang w:val="es-ES"/>
        </w:rPr>
        <w:t>Olympe</w:t>
      </w:r>
      <w:proofErr w:type="spellEnd"/>
      <w:r w:rsidRPr="00DC754E">
        <w:rPr>
          <w:rFonts w:ascii="Times New Roman" w:eastAsia="Calibri" w:hAnsi="Times New Roman" w:cs="Times New Roman"/>
          <w:sz w:val="24"/>
          <w:szCs w:val="24"/>
          <w:lang w:val="es-ES"/>
        </w:rPr>
        <w:t xml:space="preserve"> de </w:t>
      </w:r>
      <w:proofErr w:type="spellStart"/>
      <w:r w:rsidRPr="00DC754E">
        <w:rPr>
          <w:rFonts w:ascii="Times New Roman" w:eastAsia="Calibri" w:hAnsi="Times New Roman" w:cs="Times New Roman"/>
          <w:sz w:val="24"/>
          <w:szCs w:val="24"/>
          <w:lang w:val="es-ES"/>
        </w:rPr>
        <w:t>Gouges</w:t>
      </w:r>
      <w:proofErr w:type="spellEnd"/>
      <w:r w:rsidRPr="00DC754E">
        <w:rPr>
          <w:rFonts w:ascii="Times New Roman" w:eastAsia="Calibri" w:hAnsi="Times New Roman" w:cs="Times New Roman"/>
          <w:sz w:val="24"/>
          <w:szCs w:val="24"/>
          <w:lang w:val="es-ES"/>
        </w:rPr>
        <w:t xml:space="preserve"> en 1778. Cerca de doscientos años después Joan Scott utilizó la frase como título de su libro de 1996. La paradoja incluye otros significados o dos conclusiones contradictorias que desafían las opiniones comunes. Puede indicar la complejidad de la escena, pero también sugiere el deseo de desestabilizar de manera creativa lo que se nos da. Paradojas inquietantes hicieron parte de las luchas feministas y un ejemplo podría ser la noción de experiencia. En el transcurso del tiempo entre </w:t>
      </w:r>
      <w:proofErr w:type="spellStart"/>
      <w:r w:rsidRPr="00DC754E">
        <w:rPr>
          <w:rFonts w:ascii="Times New Roman" w:eastAsia="Calibri" w:hAnsi="Times New Roman" w:cs="Times New Roman"/>
          <w:sz w:val="24"/>
          <w:szCs w:val="24"/>
          <w:lang w:val="es-ES"/>
        </w:rPr>
        <w:t>Gouges</w:t>
      </w:r>
      <w:proofErr w:type="spellEnd"/>
      <w:r w:rsidRPr="00DC754E">
        <w:rPr>
          <w:rFonts w:ascii="Times New Roman" w:eastAsia="Calibri" w:hAnsi="Times New Roman" w:cs="Times New Roman"/>
          <w:sz w:val="24"/>
          <w:szCs w:val="24"/>
          <w:lang w:val="es-ES"/>
        </w:rPr>
        <w:t xml:space="preserve"> y Scott, la palabra que se refería en la filosofía antigua al reconocimiento, la investigación, y el examen, sufrió un desplazamiento en el sentido y pasó a significar algo más pasivo, receptivo, por lo que hoy se la entiende como lo real percibido, opuesto a lo pensado. En este sentido, </w:t>
      </w:r>
      <w:r w:rsidRPr="00DC754E">
        <w:rPr>
          <w:rFonts w:ascii="Times New Roman" w:eastAsia="Calibri" w:hAnsi="Times New Roman" w:cs="Times New Roman"/>
          <w:sz w:val="24"/>
          <w:szCs w:val="24"/>
          <w:lang w:val="ca-ES"/>
        </w:rPr>
        <w:t xml:space="preserve">esta presentación busca </w:t>
      </w:r>
      <w:r w:rsidR="00B96A1A" w:rsidRPr="00DC754E">
        <w:rPr>
          <w:rFonts w:ascii="Times New Roman" w:eastAsia="Calibri" w:hAnsi="Times New Roman" w:cs="Times New Roman"/>
          <w:sz w:val="24"/>
          <w:szCs w:val="24"/>
          <w:lang w:val="ca-ES"/>
        </w:rPr>
        <w:t>analisar en</w:t>
      </w:r>
      <w:r w:rsidRPr="00DC754E">
        <w:rPr>
          <w:rFonts w:ascii="Times New Roman" w:eastAsia="Calibri" w:hAnsi="Times New Roman" w:cs="Times New Roman"/>
          <w:sz w:val="24"/>
          <w:szCs w:val="24"/>
          <w:lang w:val="ca-ES"/>
        </w:rPr>
        <w:t xml:space="preserve"> </w:t>
      </w:r>
      <w:r w:rsidR="00B96A1A">
        <w:rPr>
          <w:rFonts w:ascii="Times New Roman" w:eastAsia="Calibri" w:hAnsi="Times New Roman" w:cs="Times New Roman"/>
          <w:sz w:val="24"/>
          <w:szCs w:val="24"/>
          <w:lang w:val="ca-ES"/>
        </w:rPr>
        <w:t xml:space="preserve">la obra de algunas artistas </w:t>
      </w:r>
      <w:r w:rsidRPr="00DC754E">
        <w:rPr>
          <w:rFonts w:ascii="Times New Roman" w:eastAsia="Calibri" w:hAnsi="Times New Roman" w:cs="Times New Roman"/>
          <w:sz w:val="24"/>
          <w:szCs w:val="24"/>
          <w:lang w:val="ca-ES"/>
        </w:rPr>
        <w:t xml:space="preserve">latinoamericanas </w:t>
      </w:r>
      <w:r w:rsidR="00B96A1A">
        <w:rPr>
          <w:rFonts w:ascii="Times New Roman" w:eastAsia="Calibri" w:hAnsi="Times New Roman" w:cs="Times New Roman"/>
          <w:sz w:val="24"/>
          <w:szCs w:val="24"/>
          <w:lang w:val="ca-ES"/>
        </w:rPr>
        <w:t xml:space="preserve">las </w:t>
      </w:r>
      <w:r w:rsidRPr="00DC754E">
        <w:rPr>
          <w:rFonts w:ascii="Times New Roman" w:eastAsia="Calibri" w:hAnsi="Times New Roman" w:cs="Times New Roman"/>
          <w:sz w:val="24"/>
          <w:szCs w:val="24"/>
          <w:lang w:val="ca-ES"/>
        </w:rPr>
        <w:t xml:space="preserve">estrategias discursivas utilizadas en la reivindicación del marco espacial de la experiencia y del saber femenino como </w:t>
      </w:r>
      <w:r w:rsidRPr="00DC754E">
        <w:rPr>
          <w:rFonts w:ascii="Times New Roman" w:eastAsia="Calibri" w:hAnsi="Times New Roman" w:cs="Times New Roman"/>
          <w:i/>
          <w:sz w:val="24"/>
          <w:szCs w:val="24"/>
          <w:lang w:val="ca-ES"/>
        </w:rPr>
        <w:t>locus y ethos</w:t>
      </w:r>
      <w:r w:rsidRPr="00DC754E">
        <w:rPr>
          <w:rFonts w:ascii="Times New Roman" w:eastAsia="Calibri" w:hAnsi="Times New Roman" w:cs="Times New Roman"/>
          <w:sz w:val="24"/>
          <w:szCs w:val="24"/>
          <w:lang w:val="ca-ES"/>
        </w:rPr>
        <w:t xml:space="preserve"> desde los cuales subvertir el orden patriarcal </w:t>
      </w:r>
      <w:r w:rsidRPr="00DC754E">
        <w:rPr>
          <w:rFonts w:ascii="Times New Roman" w:eastAsia="Calibri" w:hAnsi="Times New Roman" w:cs="Times New Roman"/>
          <w:bCs/>
          <w:sz w:val="24"/>
          <w:szCs w:val="24"/>
          <w:lang w:val="ca-ES"/>
        </w:rPr>
        <w:t xml:space="preserve">y los contextos que conceptualizan y jerarquizan las obras artísticas. </w:t>
      </w:r>
      <w:r w:rsidR="003F547F">
        <w:rPr>
          <w:rFonts w:ascii="Times New Roman" w:eastAsia="Calibri" w:hAnsi="Times New Roman" w:cs="Times New Roman"/>
          <w:bCs/>
          <w:sz w:val="24"/>
          <w:szCs w:val="24"/>
          <w:lang w:val="ca-ES"/>
        </w:rPr>
        <w:t>El objetivo es analisar</w:t>
      </w:r>
      <w:r w:rsidR="00A71E54">
        <w:rPr>
          <w:rFonts w:ascii="Times New Roman" w:eastAsia="Calibri" w:hAnsi="Times New Roman" w:cs="Times New Roman"/>
          <w:bCs/>
          <w:sz w:val="24"/>
          <w:szCs w:val="24"/>
          <w:lang w:val="ca-ES"/>
        </w:rPr>
        <w:t xml:space="preserve"> como </w:t>
      </w:r>
      <w:r w:rsidR="003F547F">
        <w:rPr>
          <w:rFonts w:ascii="Times New Roman" w:eastAsia="Calibri" w:hAnsi="Times New Roman" w:cs="Times New Roman"/>
          <w:bCs/>
          <w:sz w:val="24"/>
          <w:szCs w:val="24"/>
          <w:lang w:val="ca-ES"/>
        </w:rPr>
        <w:t xml:space="preserve">la introdución de algunos </w:t>
      </w:r>
      <w:r w:rsidR="003F547F" w:rsidRPr="00A71E54">
        <w:rPr>
          <w:rFonts w:ascii="Times New Roman" w:eastAsia="Calibri" w:hAnsi="Times New Roman" w:cs="Times New Roman"/>
          <w:bCs/>
          <w:sz w:val="24"/>
          <w:szCs w:val="24"/>
          <w:lang w:val="ca-ES"/>
        </w:rPr>
        <w:t>modos de producción domestica, como</w:t>
      </w:r>
      <w:r w:rsidR="002379D0">
        <w:rPr>
          <w:rFonts w:ascii="Times New Roman" w:eastAsia="Calibri" w:hAnsi="Times New Roman" w:cs="Times New Roman"/>
          <w:bCs/>
          <w:sz w:val="24"/>
          <w:szCs w:val="24"/>
          <w:lang w:val="ca-ES"/>
        </w:rPr>
        <w:t xml:space="preserve"> el cocinar, </w:t>
      </w:r>
      <w:bookmarkStart w:id="0" w:name="_GoBack"/>
      <w:bookmarkEnd w:id="0"/>
      <w:r w:rsidR="003F547F" w:rsidRPr="00A71E54">
        <w:rPr>
          <w:rFonts w:ascii="Times New Roman" w:eastAsia="Calibri" w:hAnsi="Times New Roman" w:cs="Times New Roman"/>
          <w:bCs/>
          <w:sz w:val="24"/>
          <w:szCs w:val="24"/>
          <w:lang w:val="ca-ES"/>
        </w:rPr>
        <w:t xml:space="preserve"> l</w:t>
      </w:r>
      <w:r w:rsidR="00A71E54" w:rsidRPr="00A71E54">
        <w:rPr>
          <w:rFonts w:ascii="Times New Roman" w:eastAsia="Calibri" w:hAnsi="Times New Roman" w:cs="Times New Roman"/>
          <w:bCs/>
          <w:sz w:val="24"/>
          <w:szCs w:val="24"/>
          <w:lang w:val="ca-ES"/>
        </w:rPr>
        <w:t>a costur</w:t>
      </w:r>
      <w:r w:rsidR="003F547F" w:rsidRPr="00A71E54">
        <w:rPr>
          <w:rFonts w:ascii="Times New Roman" w:eastAsia="Calibri" w:hAnsi="Times New Roman" w:cs="Times New Roman"/>
          <w:bCs/>
          <w:sz w:val="24"/>
          <w:szCs w:val="24"/>
          <w:lang w:val="ca-ES"/>
        </w:rPr>
        <w:t>a</w:t>
      </w:r>
      <w:r w:rsidR="000A167E">
        <w:rPr>
          <w:rFonts w:ascii="Times New Roman" w:eastAsia="Calibri" w:hAnsi="Times New Roman" w:cs="Times New Roman"/>
          <w:bCs/>
          <w:sz w:val="24"/>
          <w:szCs w:val="24"/>
          <w:lang w:val="ca-ES"/>
        </w:rPr>
        <w:t xml:space="preserve"> y la tejeduría</w:t>
      </w:r>
      <w:r w:rsidR="003F547F" w:rsidRPr="00A71E54">
        <w:rPr>
          <w:rFonts w:ascii="Times New Roman" w:eastAsia="Calibri" w:hAnsi="Times New Roman" w:cs="Times New Roman"/>
          <w:bCs/>
          <w:sz w:val="24"/>
          <w:szCs w:val="24"/>
          <w:lang w:val="ca-ES"/>
        </w:rPr>
        <w:t xml:space="preserve"> </w:t>
      </w:r>
      <w:r w:rsidR="00A71E54">
        <w:rPr>
          <w:rFonts w:ascii="Times New Roman" w:eastAsia="Calibri" w:hAnsi="Times New Roman" w:cs="Times New Roman"/>
          <w:bCs/>
          <w:sz w:val="24"/>
          <w:szCs w:val="24"/>
          <w:lang w:val="ca-ES"/>
        </w:rPr>
        <w:t xml:space="preserve"> en el </w:t>
      </w:r>
      <w:r w:rsidR="003F547F" w:rsidRPr="00A71E54">
        <w:rPr>
          <w:rFonts w:ascii="Times New Roman" w:eastAsia="Calibri" w:hAnsi="Times New Roman" w:cs="Times New Roman"/>
          <w:bCs/>
          <w:sz w:val="24"/>
          <w:szCs w:val="24"/>
          <w:lang w:val="ca-ES"/>
        </w:rPr>
        <w:t>arte</w:t>
      </w:r>
      <w:r w:rsidR="00A71E54">
        <w:rPr>
          <w:rFonts w:ascii="Times New Roman" w:eastAsia="Calibri" w:hAnsi="Times New Roman" w:cs="Times New Roman"/>
          <w:bCs/>
          <w:sz w:val="24"/>
          <w:szCs w:val="24"/>
          <w:lang w:val="ca-ES"/>
        </w:rPr>
        <w:t xml:space="preserve"> feminino </w:t>
      </w:r>
      <w:r w:rsidR="003F547F" w:rsidRPr="00A71E54">
        <w:rPr>
          <w:rFonts w:ascii="Times New Roman" w:eastAsia="Calibri" w:hAnsi="Times New Roman" w:cs="Times New Roman"/>
          <w:bCs/>
          <w:sz w:val="24"/>
          <w:szCs w:val="24"/>
          <w:lang w:val="ca-ES"/>
        </w:rPr>
        <w:t xml:space="preserve"> </w:t>
      </w:r>
      <w:r w:rsidR="00A71E54">
        <w:rPr>
          <w:rFonts w:ascii="Times New Roman" w:eastAsia="Calibri" w:hAnsi="Times New Roman" w:cs="Times New Roman"/>
          <w:bCs/>
          <w:sz w:val="24"/>
          <w:szCs w:val="24"/>
          <w:lang w:val="ca-ES"/>
        </w:rPr>
        <w:t>de</w:t>
      </w:r>
      <w:r w:rsidR="003F547F" w:rsidRPr="00A71E54">
        <w:rPr>
          <w:rFonts w:ascii="Times New Roman" w:eastAsia="Calibri" w:hAnsi="Times New Roman" w:cs="Times New Roman"/>
          <w:bCs/>
          <w:sz w:val="24"/>
          <w:szCs w:val="24"/>
          <w:lang w:val="ca-ES"/>
        </w:rPr>
        <w:t xml:space="preserve"> </w:t>
      </w:r>
      <w:r w:rsidR="00A71E54">
        <w:rPr>
          <w:rFonts w:ascii="Times New Roman" w:eastAsia="Calibri" w:hAnsi="Times New Roman" w:cs="Times New Roman"/>
          <w:bCs/>
          <w:sz w:val="24"/>
          <w:szCs w:val="24"/>
          <w:lang w:val="ca-ES"/>
        </w:rPr>
        <w:t>las u</w:t>
      </w:r>
      <w:r w:rsidR="003F547F" w:rsidRPr="00A71E54">
        <w:rPr>
          <w:rFonts w:ascii="Times New Roman" w:eastAsia="Calibri" w:hAnsi="Times New Roman" w:cs="Times New Roman"/>
          <w:bCs/>
          <w:sz w:val="24"/>
          <w:szCs w:val="24"/>
          <w:lang w:val="ca-ES"/>
        </w:rPr>
        <w:t>ltimas</w:t>
      </w:r>
      <w:r w:rsidR="00A71E54">
        <w:rPr>
          <w:rFonts w:ascii="Times New Roman" w:eastAsia="Calibri" w:hAnsi="Times New Roman" w:cs="Times New Roman"/>
          <w:bCs/>
          <w:sz w:val="24"/>
          <w:szCs w:val="24"/>
          <w:lang w:val="ca-ES"/>
        </w:rPr>
        <w:t xml:space="preserve"> decadas han conllevado una serie de ressignificaciones que permite</w:t>
      </w:r>
      <w:r w:rsidR="001A3B83">
        <w:rPr>
          <w:rFonts w:ascii="Times New Roman" w:eastAsia="Calibri" w:hAnsi="Times New Roman" w:cs="Times New Roman"/>
          <w:bCs/>
          <w:sz w:val="24"/>
          <w:szCs w:val="24"/>
          <w:lang w:val="ca-ES"/>
        </w:rPr>
        <w:t>n</w:t>
      </w:r>
      <w:r w:rsidR="00A71E54">
        <w:rPr>
          <w:rFonts w:ascii="Times New Roman" w:eastAsia="Calibri" w:hAnsi="Times New Roman" w:cs="Times New Roman"/>
          <w:bCs/>
          <w:sz w:val="24"/>
          <w:szCs w:val="24"/>
          <w:lang w:val="ca-ES"/>
        </w:rPr>
        <w:t xml:space="preserve"> relacionar el</w:t>
      </w:r>
      <w:r w:rsidR="00B51991">
        <w:rPr>
          <w:rFonts w:ascii="Times New Roman" w:eastAsia="Calibri" w:hAnsi="Times New Roman" w:cs="Times New Roman"/>
          <w:bCs/>
          <w:sz w:val="24"/>
          <w:szCs w:val="24"/>
          <w:lang w:val="ca-ES"/>
        </w:rPr>
        <w:t xml:space="preserve"> gé</w:t>
      </w:r>
      <w:r w:rsidR="003F547F" w:rsidRPr="00A71E54">
        <w:rPr>
          <w:rFonts w:ascii="Times New Roman" w:eastAsia="Calibri" w:hAnsi="Times New Roman" w:cs="Times New Roman"/>
          <w:bCs/>
          <w:sz w:val="24"/>
          <w:szCs w:val="24"/>
          <w:lang w:val="ca-ES"/>
        </w:rPr>
        <w:t>nero</w:t>
      </w:r>
      <w:r w:rsidR="001A3B83">
        <w:rPr>
          <w:rFonts w:ascii="Times New Roman" w:eastAsia="Calibri" w:hAnsi="Times New Roman" w:cs="Times New Roman"/>
          <w:bCs/>
          <w:sz w:val="24"/>
          <w:szCs w:val="24"/>
          <w:lang w:val="ca-ES"/>
        </w:rPr>
        <w:t xml:space="preserve"> en el arte con</w:t>
      </w:r>
      <w:r w:rsidR="00A71E54">
        <w:rPr>
          <w:rFonts w:ascii="Times New Roman" w:eastAsia="Calibri" w:hAnsi="Times New Roman" w:cs="Times New Roman"/>
          <w:bCs/>
          <w:sz w:val="24"/>
          <w:szCs w:val="24"/>
          <w:lang w:val="ca-ES"/>
        </w:rPr>
        <w:t xml:space="preserve"> el poder y</w:t>
      </w:r>
      <w:r w:rsidR="003F547F" w:rsidRPr="00A71E54">
        <w:rPr>
          <w:rFonts w:ascii="Times New Roman" w:eastAsia="Calibri" w:hAnsi="Times New Roman" w:cs="Times New Roman"/>
          <w:bCs/>
          <w:sz w:val="24"/>
          <w:szCs w:val="24"/>
          <w:lang w:val="ca-ES"/>
        </w:rPr>
        <w:t xml:space="preserve"> </w:t>
      </w:r>
      <w:r w:rsidR="00A71E54">
        <w:rPr>
          <w:rFonts w:ascii="Times New Roman" w:eastAsia="Calibri" w:hAnsi="Times New Roman" w:cs="Times New Roman"/>
          <w:bCs/>
          <w:sz w:val="24"/>
          <w:szCs w:val="24"/>
          <w:lang w:val="ca-ES"/>
        </w:rPr>
        <w:t>l</w:t>
      </w:r>
      <w:r w:rsidR="003F547F" w:rsidRPr="00A71E54">
        <w:rPr>
          <w:rFonts w:ascii="Times New Roman" w:eastAsia="Calibri" w:hAnsi="Times New Roman" w:cs="Times New Roman"/>
          <w:bCs/>
          <w:sz w:val="24"/>
          <w:szCs w:val="24"/>
          <w:lang w:val="ca-ES"/>
        </w:rPr>
        <w:t xml:space="preserve">a cultura </w:t>
      </w:r>
      <w:r w:rsidR="00B51991">
        <w:rPr>
          <w:rFonts w:ascii="Times New Roman" w:eastAsia="Calibri" w:hAnsi="Times New Roman" w:cs="Times New Roman"/>
          <w:bCs/>
          <w:sz w:val="24"/>
          <w:szCs w:val="24"/>
          <w:lang w:val="ca-ES"/>
        </w:rPr>
        <w:t xml:space="preserve">logrando </w:t>
      </w:r>
      <w:r w:rsidR="00A71E54">
        <w:rPr>
          <w:rFonts w:ascii="Times New Roman" w:eastAsia="Calibri" w:hAnsi="Times New Roman" w:cs="Times New Roman"/>
          <w:bCs/>
          <w:sz w:val="24"/>
          <w:szCs w:val="24"/>
          <w:lang w:val="ca-ES"/>
        </w:rPr>
        <w:t>o</w:t>
      </w:r>
      <w:r w:rsidR="003F547F" w:rsidRPr="00A71E54">
        <w:rPr>
          <w:rFonts w:ascii="Times New Roman" w:eastAsia="Calibri" w:hAnsi="Times New Roman" w:cs="Times New Roman"/>
          <w:bCs/>
          <w:sz w:val="24"/>
          <w:szCs w:val="24"/>
          <w:lang w:val="ca-ES"/>
        </w:rPr>
        <w:t xml:space="preserve">tras </w:t>
      </w:r>
      <w:r w:rsidR="00A71E54">
        <w:rPr>
          <w:rFonts w:ascii="Times New Roman" w:eastAsia="Calibri" w:hAnsi="Times New Roman" w:cs="Times New Roman"/>
          <w:bCs/>
          <w:sz w:val="24"/>
          <w:szCs w:val="24"/>
          <w:lang w:val="ca-ES"/>
        </w:rPr>
        <w:t>lecturas de las</w:t>
      </w:r>
      <w:r w:rsidR="000A167E">
        <w:rPr>
          <w:rFonts w:ascii="Times New Roman" w:eastAsia="Calibri" w:hAnsi="Times New Roman" w:cs="Times New Roman"/>
          <w:bCs/>
          <w:sz w:val="24"/>
          <w:szCs w:val="24"/>
          <w:lang w:val="ca-ES"/>
        </w:rPr>
        <w:t xml:space="preserve"> obras tej</w:t>
      </w:r>
      <w:r w:rsidR="00DA3AC1">
        <w:rPr>
          <w:rFonts w:ascii="Times New Roman" w:eastAsia="Calibri" w:hAnsi="Times New Roman" w:cs="Times New Roman"/>
          <w:bCs/>
          <w:sz w:val="24"/>
          <w:szCs w:val="24"/>
          <w:lang w:val="ca-ES"/>
        </w:rPr>
        <w:t>idas y</w:t>
      </w:r>
      <w:r w:rsidR="003F547F" w:rsidRPr="00A71E54">
        <w:rPr>
          <w:rFonts w:ascii="Times New Roman" w:eastAsia="Calibri" w:hAnsi="Times New Roman" w:cs="Times New Roman"/>
          <w:bCs/>
          <w:sz w:val="24"/>
          <w:szCs w:val="24"/>
          <w:lang w:val="ca-ES"/>
        </w:rPr>
        <w:t xml:space="preserve"> cosidas</w:t>
      </w:r>
      <w:r w:rsidR="00A71E54">
        <w:rPr>
          <w:rFonts w:ascii="Times New Roman" w:eastAsia="Calibri" w:hAnsi="Times New Roman" w:cs="Times New Roman"/>
          <w:bCs/>
          <w:sz w:val="24"/>
          <w:szCs w:val="24"/>
          <w:lang w:val="ca-ES"/>
        </w:rPr>
        <w:t>.</w:t>
      </w:r>
      <w:r w:rsidR="003F547F" w:rsidRPr="00A71E54">
        <w:rPr>
          <w:rFonts w:ascii="Times New Roman" w:eastAsia="Calibri" w:hAnsi="Times New Roman" w:cs="Times New Roman"/>
          <w:bCs/>
          <w:i/>
          <w:sz w:val="24"/>
          <w:szCs w:val="24"/>
          <w:lang w:val="ca-ES"/>
        </w:rPr>
        <w:t xml:space="preserve"> </w:t>
      </w:r>
    </w:p>
    <w:p w:rsidR="00DC754E" w:rsidRPr="00DC754E" w:rsidRDefault="00DC754E" w:rsidP="00DC754E">
      <w:pPr>
        <w:spacing w:after="200" w:line="360" w:lineRule="auto"/>
        <w:jc w:val="both"/>
        <w:rPr>
          <w:rFonts w:ascii="Times New Roman" w:eastAsia="Calibri" w:hAnsi="Times New Roman" w:cs="Times New Roman"/>
          <w:bCs/>
          <w:sz w:val="24"/>
          <w:szCs w:val="24"/>
          <w:lang w:val="ca-ES"/>
        </w:rPr>
      </w:pPr>
    </w:p>
    <w:p w:rsidR="00DC754E" w:rsidRPr="00DC754E" w:rsidRDefault="00DC754E" w:rsidP="00DC754E">
      <w:pPr>
        <w:spacing w:after="200" w:line="276" w:lineRule="auto"/>
        <w:jc w:val="center"/>
        <w:rPr>
          <w:rFonts w:ascii="Calibri" w:eastAsia="Times New Roman" w:hAnsi="Calibri" w:cs="Times New Roman"/>
          <w:lang w:val="ca-ES" w:eastAsia="pt-BR"/>
        </w:rPr>
      </w:pPr>
    </w:p>
    <w:sectPr w:rsidR="00DC754E" w:rsidRPr="00DC75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54E"/>
    <w:rsid w:val="00055E59"/>
    <w:rsid w:val="000A167E"/>
    <w:rsid w:val="001A3B83"/>
    <w:rsid w:val="002379D0"/>
    <w:rsid w:val="003F547F"/>
    <w:rsid w:val="007030A3"/>
    <w:rsid w:val="00A71E54"/>
    <w:rsid w:val="00B51991"/>
    <w:rsid w:val="00B96A1A"/>
    <w:rsid w:val="00DA3AC1"/>
    <w:rsid w:val="00DC754E"/>
    <w:rsid w:val="00F763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BFC35-BEA2-478D-B235-E16A1ADF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1418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cp:revision>
  <dcterms:created xsi:type="dcterms:W3CDTF">2016-10-15T13:40:00Z</dcterms:created>
  <dcterms:modified xsi:type="dcterms:W3CDTF">2016-10-15T13:40:00Z</dcterms:modified>
</cp:coreProperties>
</file>