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8A8" w:rsidRPr="00D91D07" w:rsidRDefault="005A58A8" w:rsidP="005A58A8">
      <w:pPr>
        <w:spacing w:before="120" w:after="120" w:line="240" w:lineRule="auto"/>
        <w:jc w:val="both"/>
        <w:rPr>
          <w:rFonts w:ascii="Times New Roman" w:hAnsi="Times New Roman" w:cs="Times New Roman"/>
          <w:b/>
          <w:sz w:val="24"/>
          <w:szCs w:val="24"/>
        </w:rPr>
      </w:pPr>
      <w:bookmarkStart w:id="0" w:name="_GoBack"/>
      <w:r w:rsidRPr="00D91D07">
        <w:rPr>
          <w:rFonts w:ascii="Times New Roman" w:hAnsi="Times New Roman" w:cs="Times New Roman"/>
          <w:b/>
          <w:sz w:val="24"/>
          <w:szCs w:val="24"/>
        </w:rPr>
        <w:t>Resumen</w:t>
      </w:r>
    </w:p>
    <w:bookmarkEnd w:id="0"/>
    <w:p w:rsidR="00E55A99" w:rsidRPr="003C6B6D" w:rsidRDefault="00E55A99" w:rsidP="005A58A8">
      <w:pPr>
        <w:spacing w:before="120" w:after="120" w:line="240" w:lineRule="auto"/>
        <w:jc w:val="both"/>
        <w:rPr>
          <w:rFonts w:ascii="Times New Roman" w:hAnsi="Times New Roman" w:cs="Times New Roman"/>
          <w:sz w:val="24"/>
          <w:szCs w:val="24"/>
        </w:rPr>
      </w:pPr>
      <w:r w:rsidRPr="003C6B6D">
        <w:rPr>
          <w:rFonts w:ascii="Times New Roman" w:hAnsi="Times New Roman" w:cs="Times New Roman"/>
          <w:sz w:val="24"/>
          <w:szCs w:val="24"/>
        </w:rPr>
        <w:t xml:space="preserve">El uso de la fotografía como fuente de información antropológica tiene una gran trayectoria en disciplinas como la antropología y la sociología. Desde Mead (1942) o </w:t>
      </w:r>
      <w:proofErr w:type="spellStart"/>
      <w:r w:rsidRPr="003C6B6D">
        <w:rPr>
          <w:rFonts w:ascii="Times New Roman" w:hAnsi="Times New Roman" w:cs="Times New Roman"/>
          <w:sz w:val="24"/>
          <w:szCs w:val="24"/>
        </w:rPr>
        <w:t>Goffman</w:t>
      </w:r>
      <w:proofErr w:type="spellEnd"/>
      <w:r w:rsidRPr="003C6B6D">
        <w:rPr>
          <w:rFonts w:ascii="Times New Roman" w:hAnsi="Times New Roman" w:cs="Times New Roman"/>
          <w:sz w:val="24"/>
          <w:szCs w:val="24"/>
        </w:rPr>
        <w:t xml:space="preserve"> (1976) hasta </w:t>
      </w:r>
      <w:proofErr w:type="spellStart"/>
      <w:r w:rsidRPr="003C6B6D">
        <w:rPr>
          <w:rFonts w:ascii="Times New Roman" w:hAnsi="Times New Roman" w:cs="Times New Roman"/>
          <w:sz w:val="24"/>
          <w:szCs w:val="24"/>
        </w:rPr>
        <w:t>Harper</w:t>
      </w:r>
      <w:proofErr w:type="spellEnd"/>
      <w:r w:rsidRPr="003C6B6D">
        <w:rPr>
          <w:rFonts w:ascii="Times New Roman" w:hAnsi="Times New Roman" w:cs="Times New Roman"/>
          <w:sz w:val="24"/>
          <w:szCs w:val="24"/>
        </w:rPr>
        <w:t xml:space="preserve"> (1988), pasando por </w:t>
      </w:r>
      <w:proofErr w:type="spellStart"/>
      <w:r w:rsidRPr="003C6B6D">
        <w:rPr>
          <w:rFonts w:ascii="Times New Roman" w:hAnsi="Times New Roman" w:cs="Times New Roman"/>
          <w:sz w:val="24"/>
          <w:szCs w:val="24"/>
        </w:rPr>
        <w:t>Árdevol</w:t>
      </w:r>
      <w:proofErr w:type="spellEnd"/>
      <w:r w:rsidRPr="003C6B6D">
        <w:rPr>
          <w:rFonts w:ascii="Times New Roman" w:hAnsi="Times New Roman" w:cs="Times New Roman"/>
          <w:sz w:val="24"/>
          <w:szCs w:val="24"/>
        </w:rPr>
        <w:t xml:space="preserve"> (1994), </w:t>
      </w:r>
      <w:proofErr w:type="spellStart"/>
      <w:r w:rsidRPr="003C6B6D">
        <w:rPr>
          <w:rFonts w:ascii="Times New Roman" w:hAnsi="Times New Roman" w:cs="Times New Roman"/>
          <w:sz w:val="24"/>
          <w:szCs w:val="24"/>
        </w:rPr>
        <w:t>Lisón</w:t>
      </w:r>
      <w:proofErr w:type="spellEnd"/>
      <w:r w:rsidRPr="003C6B6D">
        <w:rPr>
          <w:rFonts w:ascii="Times New Roman" w:hAnsi="Times New Roman" w:cs="Times New Roman"/>
          <w:sz w:val="24"/>
          <w:szCs w:val="24"/>
        </w:rPr>
        <w:t xml:space="preserve"> (1999), Pink (2001), entre otros, el cruce de miradas desde el academicismo y la cotidianeidad hace de este tipo de análisis uno de los más interesantes y complejos para analizar la vida social. De hecho, el uso democrático (</w:t>
      </w:r>
      <w:proofErr w:type="spellStart"/>
      <w:r w:rsidRPr="003C6B6D">
        <w:rPr>
          <w:rFonts w:ascii="Times New Roman" w:hAnsi="Times New Roman" w:cs="Times New Roman"/>
          <w:sz w:val="24"/>
          <w:szCs w:val="24"/>
        </w:rPr>
        <w:t>Freund</w:t>
      </w:r>
      <w:proofErr w:type="spellEnd"/>
      <w:r w:rsidRPr="003C6B6D">
        <w:rPr>
          <w:rFonts w:ascii="Times New Roman" w:hAnsi="Times New Roman" w:cs="Times New Roman"/>
          <w:sz w:val="24"/>
          <w:szCs w:val="24"/>
        </w:rPr>
        <w:t>, 1974) de este tipo</w:t>
      </w:r>
      <w:r>
        <w:rPr>
          <w:rFonts w:ascii="Times New Roman" w:hAnsi="Times New Roman" w:cs="Times New Roman"/>
          <w:sz w:val="24"/>
          <w:szCs w:val="24"/>
        </w:rPr>
        <w:t xml:space="preserve"> de arte medio (Bourdieu, 1965) </w:t>
      </w:r>
      <w:r w:rsidRPr="003C6B6D">
        <w:rPr>
          <w:rFonts w:ascii="Times New Roman" w:hAnsi="Times New Roman" w:cs="Times New Roman"/>
          <w:sz w:val="24"/>
          <w:szCs w:val="24"/>
        </w:rPr>
        <w:t>posibilita el uso de imágenes personales y privadas para la reflexión social y construcción de la realidad cotidiana.</w:t>
      </w:r>
    </w:p>
    <w:p w:rsidR="00E55A99" w:rsidRPr="003C6B6D" w:rsidRDefault="00E55A99" w:rsidP="005A58A8">
      <w:pPr>
        <w:spacing w:before="120" w:after="120" w:line="240" w:lineRule="auto"/>
        <w:jc w:val="both"/>
        <w:rPr>
          <w:rFonts w:ascii="Times New Roman" w:hAnsi="Times New Roman" w:cs="Times New Roman"/>
          <w:sz w:val="24"/>
          <w:szCs w:val="24"/>
        </w:rPr>
      </w:pPr>
      <w:r w:rsidRPr="003C6B6D">
        <w:rPr>
          <w:rFonts w:ascii="Times New Roman" w:hAnsi="Times New Roman" w:cs="Times New Roman"/>
          <w:sz w:val="24"/>
          <w:szCs w:val="24"/>
        </w:rPr>
        <w:t>La ritualidad de fotografiar eventos familiares se inicia con el propio nacimiento de la fotografía a finales del siglo XIX. Dicho procedimiento se consolida a lo largo del todo el siglo XX y acaba por redefinirse y reinterpretarse con el uso de las cámaras digitales en el siglo XXI. Se pasa por métodos muy diferentes, desde el registro por parte del investigador (</w:t>
      </w:r>
      <w:proofErr w:type="spellStart"/>
      <w:r w:rsidRPr="003C6B6D">
        <w:rPr>
          <w:rFonts w:ascii="Times New Roman" w:hAnsi="Times New Roman" w:cs="Times New Roman"/>
          <w:sz w:val="24"/>
          <w:szCs w:val="24"/>
        </w:rPr>
        <w:t>Rouch</w:t>
      </w:r>
      <w:proofErr w:type="spellEnd"/>
      <w:r w:rsidRPr="003C6B6D">
        <w:rPr>
          <w:rFonts w:ascii="Times New Roman" w:hAnsi="Times New Roman" w:cs="Times New Roman"/>
          <w:sz w:val="24"/>
          <w:szCs w:val="24"/>
        </w:rPr>
        <w:t>, 1974) al registro por parte del sujeto interpretado (</w:t>
      </w:r>
      <w:proofErr w:type="spellStart"/>
      <w:r w:rsidRPr="003C6B6D">
        <w:rPr>
          <w:rFonts w:ascii="Times New Roman" w:hAnsi="Times New Roman" w:cs="Times New Roman"/>
          <w:sz w:val="24"/>
          <w:szCs w:val="24"/>
        </w:rPr>
        <w:t>Árdevol</w:t>
      </w:r>
      <w:proofErr w:type="spellEnd"/>
      <w:r w:rsidRPr="003C6B6D">
        <w:rPr>
          <w:rFonts w:ascii="Times New Roman" w:hAnsi="Times New Roman" w:cs="Times New Roman"/>
          <w:sz w:val="24"/>
          <w:szCs w:val="24"/>
        </w:rPr>
        <w:t xml:space="preserve">, 1994) o versiones propias como el método </w:t>
      </w:r>
      <w:proofErr w:type="spellStart"/>
      <w:r w:rsidRPr="003C6B6D">
        <w:rPr>
          <w:rFonts w:ascii="Times New Roman" w:hAnsi="Times New Roman" w:cs="Times New Roman"/>
          <w:sz w:val="24"/>
          <w:szCs w:val="24"/>
        </w:rPr>
        <w:t>fotobiográfico</w:t>
      </w:r>
      <w:proofErr w:type="spellEnd"/>
      <w:r w:rsidRPr="003C6B6D">
        <w:rPr>
          <w:rFonts w:ascii="Times New Roman" w:hAnsi="Times New Roman" w:cs="Times New Roman"/>
          <w:sz w:val="24"/>
          <w:szCs w:val="24"/>
        </w:rPr>
        <w:t xml:space="preserve"> de Sanz (1982). </w:t>
      </w:r>
    </w:p>
    <w:p w:rsidR="00A14162" w:rsidRDefault="00E55A99" w:rsidP="005A58A8">
      <w:pPr>
        <w:spacing w:before="120" w:after="120" w:line="240" w:lineRule="auto"/>
        <w:jc w:val="both"/>
        <w:rPr>
          <w:rFonts w:ascii="Times New Roman" w:hAnsi="Times New Roman" w:cs="Times New Roman"/>
          <w:sz w:val="24"/>
          <w:szCs w:val="24"/>
        </w:rPr>
      </w:pPr>
      <w:r w:rsidRPr="003C6B6D">
        <w:rPr>
          <w:rFonts w:ascii="Times New Roman" w:hAnsi="Times New Roman" w:cs="Times New Roman"/>
          <w:sz w:val="24"/>
          <w:szCs w:val="24"/>
        </w:rPr>
        <w:t>Desde este enfoque se ha realizado una investigación sobre más de 1000 imágenes privadas procedentes de familias emigrantes gallegas. Imágenes que van desde finales del siglo XIX hasta los primeros años del siglo XXI. Un documento social que transmite visualmente el carácter generacional y transcultural de varias generaciones. Se han analizado estas imágenes interpretando la historia familiar y social. Como expone Pink: “la gente utiliza las fotografías para comunicar su propia auto-imagen o la identidad a los otros” (Pink, 1996:131)</w:t>
      </w:r>
      <w:r>
        <w:rPr>
          <w:rFonts w:ascii="Times New Roman" w:hAnsi="Times New Roman" w:cs="Times New Roman"/>
          <w:sz w:val="24"/>
          <w:szCs w:val="24"/>
        </w:rPr>
        <w:t>. Desde</w:t>
      </w:r>
      <w:r w:rsidRPr="003C6B6D">
        <w:rPr>
          <w:rFonts w:ascii="Times New Roman" w:hAnsi="Times New Roman" w:cs="Times New Roman"/>
          <w:sz w:val="24"/>
          <w:szCs w:val="24"/>
        </w:rPr>
        <w:t xml:space="preserve"> este sentido etnográfico se han analizado diferentes aspectos: los sentidos sociales y privados, los compromisos de los lazos familiares, la vida cotidiana, las utopías, etc</w:t>
      </w:r>
      <w:r>
        <w:rPr>
          <w:rFonts w:ascii="Times New Roman" w:hAnsi="Times New Roman" w:cs="Times New Roman"/>
          <w:sz w:val="24"/>
          <w:szCs w:val="24"/>
        </w:rPr>
        <w:t>.</w:t>
      </w:r>
    </w:p>
    <w:sectPr w:rsidR="00A141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1F0"/>
    <w:rsid w:val="005A58A8"/>
    <w:rsid w:val="008F71F0"/>
    <w:rsid w:val="00A14162"/>
    <w:rsid w:val="00D91D07"/>
    <w:rsid w:val="00E55A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B096B-D375-42EB-93E2-ECE70208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ibliografiaTESIS">
    <w:name w:val="Bibliografia TESIS"/>
    <w:basedOn w:val="Normal"/>
    <w:rsid w:val="005A58A8"/>
    <w:pPr>
      <w:suppressAutoHyphens/>
      <w:spacing w:after="0" w:line="240" w:lineRule="auto"/>
      <w:ind w:left="720" w:hanging="720"/>
      <w:jc w:val="both"/>
    </w:pPr>
    <w:rPr>
      <w:rFonts w:ascii="Verdana" w:eastAsia="Times New Roman" w:hAnsi="Verdana" w:cs="Arial"/>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1587</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Prado Conde</dc:creator>
  <cp:keywords/>
  <dc:description/>
  <cp:lastModifiedBy>Santiago Prado Conde</cp:lastModifiedBy>
  <cp:revision>4</cp:revision>
  <dcterms:created xsi:type="dcterms:W3CDTF">2016-10-03T08:37:00Z</dcterms:created>
  <dcterms:modified xsi:type="dcterms:W3CDTF">2016-10-03T14:29:00Z</dcterms:modified>
</cp:coreProperties>
</file>