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7B" w:rsidRPr="009A1E7B" w:rsidRDefault="009A1E7B" w:rsidP="009A1E7B">
      <w:pPr>
        <w:jc w:val="both"/>
        <w:rPr>
          <w:rFonts w:ascii="Verdana" w:hAnsi="Verdana"/>
          <w:b/>
          <w:i/>
          <w:sz w:val="20"/>
        </w:rPr>
      </w:pPr>
      <w:r w:rsidRPr="009A1E7B">
        <w:rPr>
          <w:rFonts w:ascii="Verdana" w:hAnsi="Verdana"/>
          <w:b/>
          <w:i/>
          <w:sz w:val="20"/>
        </w:rPr>
        <w:t xml:space="preserve">Seguir a los difuntos. Una etnografía </w:t>
      </w:r>
      <w:proofErr w:type="spellStart"/>
      <w:r w:rsidRPr="009A1E7B">
        <w:rPr>
          <w:rFonts w:ascii="Verdana" w:hAnsi="Verdana"/>
          <w:b/>
          <w:i/>
          <w:sz w:val="20"/>
        </w:rPr>
        <w:t>multisituada</w:t>
      </w:r>
      <w:proofErr w:type="spellEnd"/>
      <w:r w:rsidRPr="009A1E7B">
        <w:rPr>
          <w:rFonts w:ascii="Verdana" w:hAnsi="Verdana"/>
          <w:b/>
          <w:i/>
          <w:sz w:val="20"/>
        </w:rPr>
        <w:t xml:space="preserve"> de las prácticas funerarias transnacionales </w:t>
      </w:r>
    </w:p>
    <w:p w:rsidR="009A1E7B" w:rsidRPr="009A1E7B" w:rsidRDefault="009A1E7B" w:rsidP="009A1E7B">
      <w:pPr>
        <w:jc w:val="both"/>
        <w:rPr>
          <w:rFonts w:ascii="Verdana" w:hAnsi="Verdana"/>
          <w:sz w:val="20"/>
        </w:rPr>
      </w:pPr>
      <w:r w:rsidRPr="009A1E7B">
        <w:rPr>
          <w:rFonts w:ascii="Verdana" w:hAnsi="Verdana"/>
          <w:sz w:val="20"/>
        </w:rPr>
        <w:t>Dra. Ariadna SOLÉ ARRARÀS (</w:t>
      </w:r>
      <w:proofErr w:type="spellStart"/>
      <w:r w:rsidRPr="009A1E7B">
        <w:rPr>
          <w:rFonts w:ascii="Verdana" w:hAnsi="Verdana"/>
          <w:sz w:val="20"/>
        </w:rPr>
        <w:t>Universitat</w:t>
      </w:r>
      <w:proofErr w:type="spellEnd"/>
      <w:r w:rsidRPr="009A1E7B">
        <w:rPr>
          <w:rFonts w:ascii="Verdana" w:hAnsi="Verdana"/>
          <w:sz w:val="20"/>
        </w:rPr>
        <w:t xml:space="preserve"> de Barcelona)</w:t>
      </w:r>
    </w:p>
    <w:p w:rsidR="009A1E7B" w:rsidRDefault="009A1E7B" w:rsidP="009A1E7B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 xml:space="preserve">Propuesta para el panel: </w:t>
      </w:r>
      <w:r w:rsidRPr="009A1E7B">
        <w:rPr>
          <w:rFonts w:ascii="Verdana" w:hAnsi="Verdana"/>
          <w:sz w:val="20"/>
        </w:rPr>
        <w:t xml:space="preserve">Etnografías </w:t>
      </w:r>
      <w:proofErr w:type="spellStart"/>
      <w:r w:rsidRPr="009A1E7B">
        <w:rPr>
          <w:rFonts w:ascii="Verdana" w:hAnsi="Verdana"/>
          <w:sz w:val="20"/>
        </w:rPr>
        <w:t>multisituadas</w:t>
      </w:r>
      <w:proofErr w:type="spellEnd"/>
      <w:r w:rsidRPr="009A1E7B">
        <w:rPr>
          <w:rFonts w:ascii="Verdana" w:hAnsi="Verdana"/>
          <w:sz w:val="20"/>
        </w:rPr>
        <w:t xml:space="preserve"> en la era global: propuestas sobre episteme y métodos</w:t>
      </w:r>
      <w:r>
        <w:rPr>
          <w:rFonts w:ascii="Verdana" w:hAnsi="Verdana"/>
          <w:sz w:val="20"/>
        </w:rPr>
        <w:t>.</w:t>
      </w:r>
    </w:p>
    <w:p w:rsidR="009A1E7B" w:rsidRPr="009A1E7B" w:rsidRDefault="009A1E7B" w:rsidP="009A1E7B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XIV Congreso de </w:t>
      </w:r>
      <w:proofErr w:type="spellStart"/>
      <w:r>
        <w:rPr>
          <w:rFonts w:ascii="Verdana" w:hAnsi="Verdana"/>
          <w:sz w:val="20"/>
        </w:rPr>
        <w:t>Antropologia</w:t>
      </w:r>
      <w:proofErr w:type="spellEnd"/>
      <w:r>
        <w:rPr>
          <w:rFonts w:ascii="Verdana" w:hAnsi="Verdana"/>
          <w:sz w:val="20"/>
        </w:rPr>
        <w:t xml:space="preserve"> </w:t>
      </w:r>
      <w:r w:rsidRPr="009A1E7B">
        <w:rPr>
          <w:rFonts w:ascii="Verdana" w:hAnsi="Verdana"/>
          <w:sz w:val="20"/>
        </w:rPr>
        <w:t>XIV Congreso de Antropología de la FAAEE: “Antropologías en transformación: sentidos, compromisos y utopías”</w:t>
      </w:r>
    </w:p>
    <w:p w:rsidR="009A1E7B" w:rsidRDefault="009A1E7B" w:rsidP="009A1E7B">
      <w:pPr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Resumen</w:t>
      </w:r>
      <w:bookmarkStart w:id="0" w:name="_GoBack"/>
      <w:bookmarkEnd w:id="0"/>
    </w:p>
    <w:p w:rsidR="009A1E7B" w:rsidRDefault="009A1E7B" w:rsidP="009A1E7B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La </w:t>
      </w:r>
      <w:r w:rsidR="00834711">
        <w:rPr>
          <w:rFonts w:ascii="Verdana" w:hAnsi="Verdana"/>
          <w:sz w:val="20"/>
        </w:rPr>
        <w:t xml:space="preserve">presente </w:t>
      </w:r>
      <w:r>
        <w:rPr>
          <w:rFonts w:ascii="Verdana" w:hAnsi="Verdana"/>
          <w:sz w:val="20"/>
        </w:rPr>
        <w:t xml:space="preserve">comunicación presenta </w:t>
      </w:r>
      <w:r w:rsidR="00AB4C05">
        <w:rPr>
          <w:rFonts w:ascii="Verdana" w:hAnsi="Verdana"/>
          <w:sz w:val="20"/>
        </w:rPr>
        <w:t xml:space="preserve">una reflexión metodológica sobre el estudio de las prácticas funerarias en contexto trasnacional a las que dediqué mi tesis doctoral </w:t>
      </w:r>
      <w:r w:rsidR="00834711">
        <w:rPr>
          <w:rFonts w:ascii="Verdana" w:hAnsi="Verdana"/>
          <w:sz w:val="20"/>
        </w:rPr>
        <w:t xml:space="preserve">(2015) centrada en la repatriación de difuntos entre Catalunya y </w:t>
      </w:r>
      <w:proofErr w:type="spellStart"/>
      <w:r w:rsidR="00834711">
        <w:rPr>
          <w:rFonts w:ascii="Verdana" w:hAnsi="Verdana"/>
          <w:sz w:val="20"/>
        </w:rPr>
        <w:t>Kolda</w:t>
      </w:r>
      <w:proofErr w:type="spellEnd"/>
      <w:r w:rsidR="00834711">
        <w:rPr>
          <w:rFonts w:ascii="Verdana" w:hAnsi="Verdana"/>
          <w:sz w:val="20"/>
        </w:rPr>
        <w:t xml:space="preserve"> (Senegal). </w:t>
      </w:r>
      <w:r w:rsidR="000A5A4D">
        <w:rPr>
          <w:rFonts w:ascii="Verdana" w:hAnsi="Verdana"/>
          <w:sz w:val="20"/>
        </w:rPr>
        <w:t>Es</w:t>
      </w:r>
      <w:r w:rsidR="00834711">
        <w:rPr>
          <w:rFonts w:ascii="Verdana" w:hAnsi="Verdana"/>
          <w:sz w:val="20"/>
        </w:rPr>
        <w:t xml:space="preserve"> también el principal objeto de estudio de una </w:t>
      </w:r>
      <w:r w:rsidR="00615810">
        <w:rPr>
          <w:rFonts w:ascii="Verdana" w:hAnsi="Verdana"/>
          <w:sz w:val="20"/>
        </w:rPr>
        <w:t>red internacional de investigadores</w:t>
      </w:r>
      <w:r w:rsidR="00834711">
        <w:rPr>
          <w:rFonts w:ascii="Verdana" w:hAnsi="Verdana"/>
          <w:sz w:val="20"/>
        </w:rPr>
        <w:t xml:space="preserve"> en construcción </w:t>
      </w:r>
      <w:r w:rsidR="000A5A4D">
        <w:rPr>
          <w:rFonts w:ascii="Verdana" w:hAnsi="Verdana"/>
          <w:sz w:val="20"/>
        </w:rPr>
        <w:t>(</w:t>
      </w:r>
      <w:proofErr w:type="spellStart"/>
      <w:r w:rsidR="00615810" w:rsidRPr="00615810">
        <w:rPr>
          <w:rFonts w:ascii="Verdana" w:hAnsi="Verdana"/>
          <w:i/>
          <w:sz w:val="20"/>
        </w:rPr>
        <w:t>Mobilités</w:t>
      </w:r>
      <w:proofErr w:type="spellEnd"/>
      <w:r w:rsidR="00615810" w:rsidRPr="00615810">
        <w:rPr>
          <w:rFonts w:ascii="Verdana" w:hAnsi="Verdana"/>
          <w:i/>
          <w:sz w:val="20"/>
        </w:rPr>
        <w:t xml:space="preserve"> et </w:t>
      </w:r>
      <w:proofErr w:type="spellStart"/>
      <w:r w:rsidR="00615810" w:rsidRPr="00615810">
        <w:rPr>
          <w:rFonts w:ascii="Verdana" w:hAnsi="Verdana"/>
          <w:i/>
          <w:sz w:val="20"/>
        </w:rPr>
        <w:t>morts</w:t>
      </w:r>
      <w:proofErr w:type="spellEnd"/>
      <w:r w:rsidR="000A5A4D">
        <w:rPr>
          <w:rFonts w:ascii="Verdana" w:hAnsi="Verdana"/>
          <w:sz w:val="20"/>
        </w:rPr>
        <w:t>)</w:t>
      </w:r>
      <w:r w:rsidR="00677AE4">
        <w:rPr>
          <w:rFonts w:ascii="Verdana" w:hAnsi="Verdana"/>
          <w:sz w:val="20"/>
        </w:rPr>
        <w:t>,</w:t>
      </w:r>
      <w:r w:rsidR="000A5A4D">
        <w:rPr>
          <w:rFonts w:ascii="Verdana" w:hAnsi="Verdana"/>
          <w:sz w:val="20"/>
        </w:rPr>
        <w:t xml:space="preserve"> </w:t>
      </w:r>
      <w:r w:rsidR="00677AE4">
        <w:rPr>
          <w:rFonts w:ascii="Verdana" w:hAnsi="Verdana"/>
          <w:sz w:val="20"/>
        </w:rPr>
        <w:t>con</w:t>
      </w:r>
      <w:r w:rsidR="00834711">
        <w:rPr>
          <w:rFonts w:ascii="Verdana" w:hAnsi="Verdana"/>
          <w:sz w:val="20"/>
        </w:rPr>
        <w:t xml:space="preserve"> </w:t>
      </w:r>
      <w:r w:rsidR="00615810">
        <w:rPr>
          <w:rFonts w:ascii="Verdana" w:hAnsi="Verdana"/>
          <w:sz w:val="20"/>
        </w:rPr>
        <w:t>base en la UQAM (</w:t>
      </w:r>
      <w:proofErr w:type="spellStart"/>
      <w:r w:rsidR="00615810">
        <w:rPr>
          <w:rFonts w:ascii="Verdana" w:hAnsi="Verdana"/>
          <w:sz w:val="20"/>
        </w:rPr>
        <w:t>Canadà</w:t>
      </w:r>
      <w:proofErr w:type="spellEnd"/>
      <w:r w:rsidR="00615810">
        <w:rPr>
          <w:rFonts w:ascii="Verdana" w:hAnsi="Verdana"/>
          <w:sz w:val="20"/>
        </w:rPr>
        <w:t>)</w:t>
      </w:r>
      <w:r w:rsidR="00677AE4">
        <w:rPr>
          <w:rFonts w:ascii="Verdana" w:hAnsi="Verdana"/>
          <w:sz w:val="20"/>
        </w:rPr>
        <w:t>,</w:t>
      </w:r>
      <w:r w:rsidR="00834711">
        <w:rPr>
          <w:rFonts w:ascii="Verdana" w:hAnsi="Verdana"/>
          <w:sz w:val="20"/>
        </w:rPr>
        <w:t xml:space="preserve"> y </w:t>
      </w:r>
      <w:r w:rsidR="00677AE4">
        <w:rPr>
          <w:rFonts w:ascii="Verdana" w:hAnsi="Verdana"/>
          <w:sz w:val="20"/>
        </w:rPr>
        <w:t xml:space="preserve">que </w:t>
      </w:r>
      <w:r w:rsidR="00834711">
        <w:rPr>
          <w:rFonts w:ascii="Verdana" w:hAnsi="Verdana"/>
          <w:sz w:val="20"/>
        </w:rPr>
        <w:t>se espera que dé lugar a futuros proyectos sobre esta temática.</w:t>
      </w:r>
      <w:r w:rsidR="00615810">
        <w:rPr>
          <w:rFonts w:ascii="Verdana" w:hAnsi="Verdana"/>
          <w:sz w:val="20"/>
        </w:rPr>
        <w:t xml:space="preserve"> </w:t>
      </w:r>
      <w:r w:rsidR="00AB4C05">
        <w:rPr>
          <w:rFonts w:ascii="Verdana" w:hAnsi="Verdana"/>
          <w:sz w:val="20"/>
        </w:rPr>
        <w:t xml:space="preserve"> </w:t>
      </w:r>
    </w:p>
    <w:p w:rsidR="00615810" w:rsidRPr="00615810" w:rsidRDefault="00672586" w:rsidP="00677AE4">
      <w:pPr>
        <w:jc w:val="both"/>
        <w:rPr>
          <w:rFonts w:ascii="Verdana" w:hAnsi="Verdana"/>
          <w:sz w:val="20"/>
          <w:lang w:val="ca-ES"/>
        </w:rPr>
      </w:pPr>
      <w:r>
        <w:rPr>
          <w:rFonts w:ascii="Verdana" w:hAnsi="Verdana"/>
          <w:sz w:val="20"/>
        </w:rPr>
        <w:t>La repatriación de difuntos es una práctica habitual e</w:t>
      </w:r>
      <w:r w:rsidR="00BF608F">
        <w:rPr>
          <w:rFonts w:ascii="Verdana" w:hAnsi="Verdana"/>
          <w:sz w:val="20"/>
        </w:rPr>
        <w:t xml:space="preserve">ntre distintos grupos migrantes y su estudio </w:t>
      </w:r>
      <w:r w:rsidR="00692F21">
        <w:rPr>
          <w:rFonts w:ascii="Verdana" w:hAnsi="Verdana"/>
          <w:sz w:val="20"/>
        </w:rPr>
        <w:t>exige</w:t>
      </w:r>
      <w:r w:rsidR="00BF608F">
        <w:rPr>
          <w:rFonts w:ascii="Verdana" w:hAnsi="Verdana"/>
          <w:sz w:val="20"/>
        </w:rPr>
        <w:t xml:space="preserve"> </w:t>
      </w:r>
      <w:r w:rsidR="00834711">
        <w:rPr>
          <w:rFonts w:ascii="Verdana" w:hAnsi="Verdana"/>
          <w:sz w:val="20"/>
        </w:rPr>
        <w:t xml:space="preserve">investigar </w:t>
      </w:r>
      <w:r w:rsidR="00677AE4">
        <w:rPr>
          <w:rFonts w:ascii="Verdana" w:hAnsi="Verdana"/>
          <w:sz w:val="20"/>
        </w:rPr>
        <w:t xml:space="preserve">en contextos múltiples, </w:t>
      </w:r>
      <w:r w:rsidR="00C922E8">
        <w:rPr>
          <w:rFonts w:ascii="Verdana" w:hAnsi="Verdana"/>
          <w:sz w:val="20"/>
        </w:rPr>
        <w:t>diseñar una etnografía que implica buscar constantemente un campo que se mueve, seguir a nuestro objeto de estudio por las cartografías que este mismo dibuja</w:t>
      </w:r>
      <w:r w:rsidR="00BF608F">
        <w:rPr>
          <w:rFonts w:ascii="Verdana" w:hAnsi="Verdana"/>
          <w:sz w:val="20"/>
        </w:rPr>
        <w:t>.</w:t>
      </w:r>
      <w:r w:rsidR="004C3A29" w:rsidRPr="004C3A29">
        <w:rPr>
          <w:rFonts w:ascii="Verdana" w:hAnsi="Verdana"/>
          <w:sz w:val="20"/>
        </w:rPr>
        <w:t xml:space="preserve"> </w:t>
      </w:r>
      <w:r w:rsidR="004C3A29">
        <w:rPr>
          <w:rFonts w:ascii="Verdana" w:hAnsi="Verdana"/>
          <w:sz w:val="20"/>
        </w:rPr>
        <w:t xml:space="preserve">La investigación de los ritos funerarios transnacionales exige usar </w:t>
      </w:r>
      <w:r w:rsidR="004C3A29" w:rsidRPr="004C3A29">
        <w:rPr>
          <w:rFonts w:ascii="Verdana" w:hAnsi="Verdana"/>
          <w:sz w:val="20"/>
        </w:rPr>
        <w:t>elementos de las dos primeras</w:t>
      </w:r>
      <w:r w:rsidR="00BF608F" w:rsidRPr="00BF608F">
        <w:rPr>
          <w:rFonts w:ascii="Verdana" w:hAnsi="Verdana"/>
          <w:sz w:val="20"/>
        </w:rPr>
        <w:t xml:space="preserve"> </w:t>
      </w:r>
      <w:r w:rsidR="00BF608F" w:rsidRPr="004C3A29">
        <w:rPr>
          <w:rFonts w:ascii="Verdana" w:hAnsi="Verdana"/>
          <w:sz w:val="20"/>
        </w:rPr>
        <w:t>formas o técni</w:t>
      </w:r>
      <w:r w:rsidR="00BF608F">
        <w:rPr>
          <w:rFonts w:ascii="Verdana" w:hAnsi="Verdana"/>
          <w:sz w:val="20"/>
        </w:rPr>
        <w:t xml:space="preserve">cas con </w:t>
      </w:r>
      <w:r w:rsidR="00BF608F">
        <w:rPr>
          <w:rFonts w:ascii="Verdana" w:hAnsi="Verdana"/>
          <w:sz w:val="20"/>
        </w:rPr>
        <w:t xml:space="preserve">las </w:t>
      </w:r>
      <w:r w:rsidR="00BF608F">
        <w:rPr>
          <w:rFonts w:ascii="Verdana" w:hAnsi="Verdana"/>
          <w:sz w:val="20"/>
        </w:rPr>
        <w:t xml:space="preserve">que la etnografía </w:t>
      </w:r>
      <w:proofErr w:type="spellStart"/>
      <w:r w:rsidR="00BF608F">
        <w:rPr>
          <w:rFonts w:ascii="Verdana" w:hAnsi="Verdana"/>
          <w:sz w:val="20"/>
        </w:rPr>
        <w:t>multi</w:t>
      </w:r>
      <w:r w:rsidR="00BF608F" w:rsidRPr="004C3A29">
        <w:rPr>
          <w:rFonts w:ascii="Verdana" w:hAnsi="Verdana"/>
          <w:sz w:val="20"/>
        </w:rPr>
        <w:t>situada</w:t>
      </w:r>
      <w:proofErr w:type="spellEnd"/>
      <w:r w:rsidR="00BF608F" w:rsidRPr="004C3A29">
        <w:rPr>
          <w:rFonts w:ascii="Verdana" w:hAnsi="Verdana"/>
          <w:sz w:val="20"/>
        </w:rPr>
        <w:t xml:space="preserve"> define sus objetos de estudio</w:t>
      </w:r>
      <w:r w:rsidR="00BF608F">
        <w:rPr>
          <w:rFonts w:ascii="Verdana" w:hAnsi="Verdana"/>
          <w:sz w:val="20"/>
        </w:rPr>
        <w:t xml:space="preserve"> según </w:t>
      </w:r>
      <w:r w:rsidR="00BF608F">
        <w:rPr>
          <w:rFonts w:ascii="Verdana" w:hAnsi="Verdana"/>
          <w:sz w:val="20"/>
        </w:rPr>
        <w:t xml:space="preserve">George E. </w:t>
      </w:r>
      <w:r w:rsidR="00BF608F" w:rsidRPr="004C3A29">
        <w:rPr>
          <w:rFonts w:ascii="Verdana" w:hAnsi="Verdana"/>
          <w:sz w:val="20"/>
        </w:rPr>
        <w:t>Marcus</w:t>
      </w:r>
      <w:r w:rsidR="00BF608F">
        <w:rPr>
          <w:rFonts w:ascii="Verdana" w:hAnsi="Verdana"/>
          <w:sz w:val="20"/>
        </w:rPr>
        <w:t xml:space="preserve"> </w:t>
      </w:r>
      <w:r w:rsidR="00BF608F" w:rsidRPr="004C3A29">
        <w:rPr>
          <w:rFonts w:ascii="Verdana" w:hAnsi="Verdana"/>
          <w:sz w:val="20"/>
        </w:rPr>
        <w:t>(1998)</w:t>
      </w:r>
      <w:r w:rsidR="004C3A29" w:rsidRPr="004C3A29">
        <w:rPr>
          <w:rFonts w:ascii="Verdana" w:hAnsi="Verdana"/>
          <w:sz w:val="20"/>
        </w:rPr>
        <w:t xml:space="preserve">: "seguir las personas" y "seguir </w:t>
      </w:r>
      <w:r w:rsidR="004C3A29">
        <w:rPr>
          <w:rFonts w:ascii="Verdana" w:hAnsi="Verdana"/>
          <w:sz w:val="20"/>
        </w:rPr>
        <w:t>una cosa</w:t>
      </w:r>
      <w:r w:rsidR="004C3A29" w:rsidRPr="004C3A29">
        <w:rPr>
          <w:rFonts w:ascii="Verdana" w:hAnsi="Verdana"/>
          <w:sz w:val="20"/>
        </w:rPr>
        <w:t>"</w:t>
      </w:r>
      <w:r w:rsidR="004C3A29">
        <w:rPr>
          <w:rFonts w:ascii="Verdana" w:hAnsi="Verdana"/>
          <w:sz w:val="20"/>
        </w:rPr>
        <w:t>. “Seguir a las personas</w:t>
      </w:r>
      <w:r w:rsidR="00677AE4">
        <w:rPr>
          <w:rFonts w:ascii="Verdana" w:hAnsi="Verdana"/>
          <w:sz w:val="20"/>
        </w:rPr>
        <w:t xml:space="preserve">”, </w:t>
      </w:r>
      <w:r w:rsidR="004C3A29" w:rsidRPr="004C3A29">
        <w:rPr>
          <w:rFonts w:ascii="Verdana" w:hAnsi="Verdana"/>
          <w:sz w:val="20"/>
        </w:rPr>
        <w:t xml:space="preserve">la forma quizás más obvia y convencional significa, generalmente, centrar la búsqueda en un grupo </w:t>
      </w:r>
      <w:r w:rsidR="00677AE4">
        <w:rPr>
          <w:rFonts w:ascii="Verdana" w:hAnsi="Verdana"/>
          <w:sz w:val="20"/>
        </w:rPr>
        <w:t>bien delimitado que constituye</w:t>
      </w:r>
      <w:r w:rsidR="004C3A29" w:rsidRPr="004C3A29">
        <w:rPr>
          <w:rFonts w:ascii="Verdana" w:hAnsi="Verdana"/>
          <w:sz w:val="20"/>
        </w:rPr>
        <w:t xml:space="preserve"> una "comunidad transnacional" o "comunidad </w:t>
      </w:r>
      <w:proofErr w:type="spellStart"/>
      <w:r w:rsidR="004C3A29" w:rsidRPr="004C3A29">
        <w:rPr>
          <w:rFonts w:ascii="Verdana" w:hAnsi="Verdana"/>
          <w:sz w:val="20"/>
        </w:rPr>
        <w:t>diaspórica</w:t>
      </w:r>
      <w:proofErr w:type="spellEnd"/>
      <w:r w:rsidR="004C3A29" w:rsidRPr="004C3A29">
        <w:rPr>
          <w:rFonts w:ascii="Verdana" w:hAnsi="Verdana"/>
          <w:sz w:val="20"/>
        </w:rPr>
        <w:t xml:space="preserve">". Ahora bien, que tal realidad exista </w:t>
      </w:r>
      <w:r w:rsidR="004C3A29">
        <w:rPr>
          <w:rFonts w:ascii="Verdana" w:hAnsi="Verdana"/>
          <w:sz w:val="20"/>
        </w:rPr>
        <w:t xml:space="preserve">está </w:t>
      </w:r>
      <w:r w:rsidR="004C3A29" w:rsidRPr="004C3A29">
        <w:rPr>
          <w:rFonts w:ascii="Verdana" w:hAnsi="Verdana"/>
          <w:sz w:val="20"/>
        </w:rPr>
        <w:t>abierto a discusión.</w:t>
      </w:r>
      <w:r w:rsidR="004C3A29">
        <w:rPr>
          <w:rFonts w:ascii="Verdana" w:hAnsi="Verdana"/>
          <w:sz w:val="20"/>
        </w:rPr>
        <w:t xml:space="preserve"> En este sentido,</w:t>
      </w:r>
      <w:r w:rsidR="00677AE4">
        <w:rPr>
          <w:rFonts w:ascii="Verdana" w:hAnsi="Verdana"/>
          <w:sz w:val="20"/>
        </w:rPr>
        <w:t xml:space="preserve"> sostengo</w:t>
      </w:r>
      <w:r w:rsidR="004C3A29">
        <w:rPr>
          <w:rFonts w:ascii="Verdana" w:hAnsi="Verdana"/>
          <w:sz w:val="20"/>
        </w:rPr>
        <w:t xml:space="preserve"> que resulta más apropiada la segunda técnica de Marcus, “seguir una cosa</w:t>
      </w:r>
      <w:r w:rsidR="000A5A4D">
        <w:rPr>
          <w:rFonts w:ascii="Verdana" w:hAnsi="Verdana"/>
          <w:sz w:val="20"/>
        </w:rPr>
        <w:t>”</w:t>
      </w:r>
      <w:r w:rsidR="004C3A29">
        <w:rPr>
          <w:rFonts w:ascii="Verdana" w:hAnsi="Verdana"/>
          <w:sz w:val="20"/>
        </w:rPr>
        <w:t xml:space="preserve">, </w:t>
      </w:r>
      <w:r w:rsidR="000A5A4D">
        <w:rPr>
          <w:rFonts w:ascii="Verdana" w:hAnsi="Verdana"/>
          <w:sz w:val="20"/>
        </w:rPr>
        <w:t>e</w:t>
      </w:r>
      <w:r w:rsidR="000A5A4D">
        <w:rPr>
          <w:rFonts w:ascii="Verdana" w:hAnsi="Verdana"/>
          <w:sz w:val="20"/>
        </w:rPr>
        <w:t>s decir,</w:t>
      </w:r>
      <w:r w:rsidR="000A5A4D" w:rsidRPr="004C3A29">
        <w:rPr>
          <w:rFonts w:ascii="Verdana" w:hAnsi="Verdana"/>
          <w:sz w:val="20"/>
        </w:rPr>
        <w:t xml:space="preserve"> construir la etnografía trazando la circulación a través de diferentes contextos de un objeto de estudio manifiestamente material</w:t>
      </w:r>
      <w:r w:rsidR="00677AE4">
        <w:rPr>
          <w:rFonts w:ascii="Verdana" w:hAnsi="Verdana"/>
          <w:sz w:val="20"/>
        </w:rPr>
        <w:t>. E</w:t>
      </w:r>
      <w:r w:rsidR="004C3A29">
        <w:rPr>
          <w:rFonts w:ascii="Verdana" w:hAnsi="Verdana"/>
          <w:sz w:val="20"/>
        </w:rPr>
        <w:t>n este caso, a los cuerpos difuntos.</w:t>
      </w:r>
      <w:r w:rsidR="004C3A29" w:rsidRPr="004C3A29">
        <w:rPr>
          <w:rFonts w:ascii="Verdana" w:hAnsi="Verdana"/>
          <w:sz w:val="20"/>
        </w:rPr>
        <w:t xml:space="preserve"> El cuerpo difunto no es exactamente una cosa</w:t>
      </w:r>
      <w:r w:rsidR="000A5A4D">
        <w:rPr>
          <w:rFonts w:ascii="Verdana" w:hAnsi="Verdana"/>
          <w:sz w:val="20"/>
        </w:rPr>
        <w:t xml:space="preserve"> y</w:t>
      </w:r>
      <w:r w:rsidR="00677AE4">
        <w:rPr>
          <w:rFonts w:ascii="Verdana" w:hAnsi="Verdana"/>
          <w:sz w:val="20"/>
        </w:rPr>
        <w:t xml:space="preserve"> su</w:t>
      </w:r>
      <w:r w:rsidR="004C3A29" w:rsidRPr="004C3A29">
        <w:rPr>
          <w:rFonts w:ascii="Verdana" w:hAnsi="Verdana"/>
          <w:sz w:val="20"/>
        </w:rPr>
        <w:t xml:space="preserve"> ambigüedad simbólica</w:t>
      </w:r>
      <w:r w:rsidR="000A5A4D">
        <w:rPr>
          <w:rFonts w:ascii="Verdana" w:hAnsi="Verdana"/>
          <w:sz w:val="20"/>
        </w:rPr>
        <w:t xml:space="preserve"> como persona y</w:t>
      </w:r>
      <w:r w:rsidR="004C3A29" w:rsidRPr="004C3A29">
        <w:rPr>
          <w:rFonts w:ascii="Verdana" w:hAnsi="Verdana"/>
          <w:sz w:val="20"/>
        </w:rPr>
        <w:t>/o</w:t>
      </w:r>
      <w:r w:rsidR="000A5A4D">
        <w:rPr>
          <w:rFonts w:ascii="Verdana" w:hAnsi="Verdana"/>
          <w:sz w:val="20"/>
        </w:rPr>
        <w:t xml:space="preserve"> cosa</w:t>
      </w:r>
      <w:r w:rsidR="004C3A29" w:rsidRPr="004C3A29">
        <w:rPr>
          <w:rFonts w:ascii="Verdana" w:hAnsi="Verdana"/>
          <w:sz w:val="20"/>
        </w:rPr>
        <w:t xml:space="preserve"> ha sido </w:t>
      </w:r>
      <w:r w:rsidR="00677AE4">
        <w:rPr>
          <w:rFonts w:ascii="Verdana" w:hAnsi="Verdana"/>
          <w:sz w:val="20"/>
        </w:rPr>
        <w:t>un elemento</w:t>
      </w:r>
      <w:r w:rsidR="004C3A29" w:rsidRPr="004C3A29">
        <w:rPr>
          <w:rFonts w:ascii="Verdana" w:hAnsi="Verdana"/>
          <w:sz w:val="20"/>
        </w:rPr>
        <w:t xml:space="preserve"> de reflexión de la antropología de la muerte.</w:t>
      </w:r>
      <w:r w:rsidR="000A5A4D">
        <w:rPr>
          <w:rFonts w:ascii="Verdana" w:hAnsi="Verdana"/>
          <w:sz w:val="20"/>
        </w:rPr>
        <w:t xml:space="preserve"> Sin embargo, se trata de una forma de hacer etnografía que nos permite reflexionar como el ritual funerario transnacional es, en sí mismo, una forma de construir esta </w:t>
      </w:r>
      <w:r w:rsidR="000A5A4D" w:rsidRPr="004C3A29">
        <w:rPr>
          <w:rFonts w:ascii="Verdana" w:hAnsi="Verdana"/>
          <w:sz w:val="20"/>
        </w:rPr>
        <w:t>"comunidad transnacional"</w:t>
      </w:r>
      <w:r w:rsidR="000A5A4D">
        <w:rPr>
          <w:rFonts w:ascii="Verdana" w:hAnsi="Verdana"/>
          <w:sz w:val="20"/>
        </w:rPr>
        <w:t xml:space="preserve">. </w:t>
      </w:r>
    </w:p>
    <w:p w:rsidR="00847DA8" w:rsidRPr="00615810" w:rsidRDefault="00847DA8" w:rsidP="009A1E7B">
      <w:pPr>
        <w:jc w:val="both"/>
        <w:rPr>
          <w:lang w:val="ca-ES"/>
        </w:rPr>
      </w:pPr>
    </w:p>
    <w:sectPr w:rsidR="00847DA8" w:rsidRPr="006158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2FC" w:rsidRDefault="00DC52FC" w:rsidP="00615810">
      <w:pPr>
        <w:spacing w:after="0" w:line="240" w:lineRule="auto"/>
      </w:pPr>
      <w:r>
        <w:separator/>
      </w:r>
    </w:p>
  </w:endnote>
  <w:endnote w:type="continuationSeparator" w:id="0">
    <w:p w:rsidR="00DC52FC" w:rsidRDefault="00DC52FC" w:rsidP="0061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2FC" w:rsidRDefault="00DC52FC" w:rsidP="00615810">
      <w:pPr>
        <w:spacing w:after="0" w:line="240" w:lineRule="auto"/>
      </w:pPr>
      <w:r>
        <w:separator/>
      </w:r>
    </w:p>
  </w:footnote>
  <w:footnote w:type="continuationSeparator" w:id="0">
    <w:p w:rsidR="00DC52FC" w:rsidRDefault="00DC52FC" w:rsidP="006158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4B0"/>
    <w:rsid w:val="000A5A4D"/>
    <w:rsid w:val="004C3A29"/>
    <w:rsid w:val="00615810"/>
    <w:rsid w:val="00672586"/>
    <w:rsid w:val="00677AE4"/>
    <w:rsid w:val="00692F21"/>
    <w:rsid w:val="00834711"/>
    <w:rsid w:val="008374B0"/>
    <w:rsid w:val="00847DA8"/>
    <w:rsid w:val="009A1E7B"/>
    <w:rsid w:val="00AB4C05"/>
    <w:rsid w:val="00BF608F"/>
    <w:rsid w:val="00C922E8"/>
    <w:rsid w:val="00DC52FC"/>
    <w:rsid w:val="00D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E7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615810"/>
    <w:pPr>
      <w:spacing w:after="0" w:line="240" w:lineRule="auto"/>
    </w:pPr>
    <w:rPr>
      <w:rFonts w:ascii="Arial" w:eastAsia="Times New Roman" w:hAnsi="Arial" w:cs="Arial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15810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unhideWhenUsed/>
    <w:rsid w:val="0061581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E7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615810"/>
    <w:pPr>
      <w:spacing w:after="0" w:line="240" w:lineRule="auto"/>
    </w:pPr>
    <w:rPr>
      <w:rFonts w:ascii="Arial" w:eastAsia="Times New Roman" w:hAnsi="Arial" w:cs="Arial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15810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unhideWhenUsed/>
    <w:rsid w:val="006158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96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4</cp:revision>
  <dcterms:created xsi:type="dcterms:W3CDTF">2016-10-14T15:05:00Z</dcterms:created>
  <dcterms:modified xsi:type="dcterms:W3CDTF">2016-10-15T09:57:00Z</dcterms:modified>
</cp:coreProperties>
</file>