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9B7" w:rsidRPr="00CD162F" w:rsidRDefault="000F39B7" w:rsidP="00286F19">
      <w:pPr>
        <w:pStyle w:val="Textoindependiente"/>
        <w:spacing w:before="79" w:after="78" w:line="360" w:lineRule="auto"/>
        <w:ind w:right="221"/>
        <w:jc w:val="both"/>
        <w:rPr>
          <w:rFonts w:asciiTheme="minorHAnsi" w:hAnsiTheme="minorHAnsi"/>
          <w:sz w:val="24"/>
          <w:szCs w:val="22"/>
        </w:rPr>
      </w:pPr>
      <w:r w:rsidRPr="00CD162F">
        <w:rPr>
          <w:rFonts w:asciiTheme="minorHAnsi" w:hAnsiTheme="minorHAnsi"/>
          <w:sz w:val="24"/>
          <w:szCs w:val="22"/>
        </w:rPr>
        <w:t>Convivencia,</w:t>
      </w:r>
      <w:r w:rsidRPr="00CD162F">
        <w:rPr>
          <w:rFonts w:asciiTheme="minorHAnsi" w:hAnsiTheme="minorHAnsi"/>
          <w:spacing w:val="21"/>
          <w:sz w:val="24"/>
          <w:szCs w:val="22"/>
        </w:rPr>
        <w:t xml:space="preserve"> </w:t>
      </w:r>
      <w:r w:rsidRPr="00CD162F">
        <w:rPr>
          <w:rFonts w:asciiTheme="minorHAnsi" w:hAnsiTheme="minorHAnsi"/>
          <w:sz w:val="24"/>
          <w:szCs w:val="22"/>
        </w:rPr>
        <w:t>Conflicto</w:t>
      </w:r>
      <w:r w:rsidRPr="00CD162F">
        <w:rPr>
          <w:rFonts w:asciiTheme="minorHAnsi" w:hAnsiTheme="minorHAnsi"/>
          <w:spacing w:val="21"/>
          <w:sz w:val="24"/>
          <w:szCs w:val="22"/>
        </w:rPr>
        <w:t xml:space="preserve"> </w:t>
      </w:r>
      <w:r w:rsidRPr="00CD162F">
        <w:rPr>
          <w:rFonts w:asciiTheme="minorHAnsi" w:hAnsiTheme="minorHAnsi"/>
          <w:sz w:val="24"/>
          <w:szCs w:val="22"/>
        </w:rPr>
        <w:t>e</w:t>
      </w:r>
      <w:r w:rsidRPr="00CD162F">
        <w:rPr>
          <w:rFonts w:asciiTheme="minorHAnsi" w:hAnsiTheme="minorHAnsi"/>
          <w:w w:val="102"/>
          <w:sz w:val="24"/>
          <w:szCs w:val="22"/>
        </w:rPr>
        <w:t xml:space="preserve"> </w:t>
      </w:r>
      <w:r w:rsidRPr="00CD162F">
        <w:rPr>
          <w:rFonts w:asciiTheme="minorHAnsi" w:hAnsiTheme="minorHAnsi"/>
          <w:sz w:val="24"/>
          <w:szCs w:val="22"/>
        </w:rPr>
        <w:t xml:space="preserve">Integración: relaciones sociales interétnicas </w:t>
      </w:r>
      <w:r w:rsidRPr="00CD162F">
        <w:rPr>
          <w:rFonts w:asciiTheme="minorHAnsi" w:hAnsiTheme="minorHAnsi"/>
          <w:sz w:val="24"/>
          <w:szCs w:val="22"/>
        </w:rPr>
        <w:t xml:space="preserve">en </w:t>
      </w:r>
      <w:r w:rsidR="00286F19" w:rsidRPr="00CD162F">
        <w:rPr>
          <w:rFonts w:asciiTheme="minorHAnsi" w:hAnsiTheme="minorHAnsi"/>
          <w:sz w:val="24"/>
          <w:szCs w:val="22"/>
        </w:rPr>
        <w:t>“tomas de La Pampa”</w:t>
      </w:r>
      <w:r w:rsidRPr="00CD162F">
        <w:rPr>
          <w:rFonts w:asciiTheme="minorHAnsi" w:hAnsiTheme="minorHAnsi"/>
          <w:sz w:val="24"/>
          <w:szCs w:val="22"/>
        </w:rPr>
        <w:t xml:space="preserve"> de Alto Hospicio, </w:t>
      </w:r>
      <w:r w:rsidR="00CD162F">
        <w:rPr>
          <w:rFonts w:asciiTheme="minorHAnsi" w:hAnsiTheme="minorHAnsi"/>
          <w:sz w:val="24"/>
          <w:szCs w:val="22"/>
        </w:rPr>
        <w:t xml:space="preserve">Tarapacá, </w:t>
      </w:r>
      <w:r w:rsidRPr="00CD162F">
        <w:rPr>
          <w:rFonts w:asciiTheme="minorHAnsi" w:hAnsiTheme="minorHAnsi"/>
          <w:sz w:val="24"/>
          <w:szCs w:val="22"/>
        </w:rPr>
        <w:t>Chile</w:t>
      </w:r>
      <w:r w:rsidR="00CD162F">
        <w:rPr>
          <w:rFonts w:asciiTheme="minorHAnsi" w:hAnsiTheme="minorHAnsi"/>
          <w:sz w:val="24"/>
          <w:szCs w:val="22"/>
        </w:rPr>
        <w:t>.</w:t>
      </w:r>
    </w:p>
    <w:p w:rsidR="00CD162F" w:rsidRDefault="00CD162F" w:rsidP="00286F19">
      <w:pPr>
        <w:pStyle w:val="Textoindependiente"/>
        <w:spacing w:before="79" w:after="78" w:line="360" w:lineRule="auto"/>
        <w:ind w:right="221"/>
        <w:jc w:val="both"/>
        <w:rPr>
          <w:rFonts w:asciiTheme="minorHAnsi" w:hAnsiTheme="minorHAnsi"/>
          <w:sz w:val="22"/>
          <w:szCs w:val="22"/>
        </w:rPr>
      </w:pPr>
    </w:p>
    <w:p w:rsidR="00343792" w:rsidRPr="00286F19" w:rsidRDefault="00CD162F" w:rsidP="00286F19">
      <w:pPr>
        <w:pStyle w:val="Textoindependiente"/>
        <w:spacing w:before="79" w:after="78" w:line="360" w:lineRule="auto"/>
        <w:ind w:right="221"/>
        <w:jc w:val="both"/>
        <w:rPr>
          <w:rFonts w:asciiTheme="minorHAnsi" w:hAnsiTheme="minorHAnsi"/>
          <w:sz w:val="22"/>
          <w:szCs w:val="22"/>
        </w:rPr>
      </w:pPr>
      <w:r>
        <w:rPr>
          <w:rFonts w:asciiTheme="minorHAnsi" w:hAnsiTheme="minorHAnsi"/>
          <w:sz w:val="22"/>
          <w:szCs w:val="22"/>
        </w:rPr>
        <w:t xml:space="preserve">Autores </w:t>
      </w:r>
      <w:r w:rsidR="00343792" w:rsidRPr="00286F19">
        <w:rPr>
          <w:rFonts w:asciiTheme="minorHAnsi" w:hAnsiTheme="minorHAnsi"/>
          <w:sz w:val="22"/>
          <w:szCs w:val="22"/>
        </w:rPr>
        <w:t>Nanette Liberona y Daniel Quinteros</w:t>
      </w:r>
    </w:p>
    <w:p w:rsidR="00CD162F" w:rsidRDefault="00CD162F" w:rsidP="00286F19">
      <w:pPr>
        <w:pStyle w:val="Textoindependiente"/>
        <w:spacing w:before="79" w:after="78" w:line="360" w:lineRule="auto"/>
        <w:ind w:right="221"/>
        <w:jc w:val="both"/>
        <w:rPr>
          <w:rFonts w:asciiTheme="minorHAnsi" w:hAnsiTheme="minorHAnsi"/>
          <w:sz w:val="22"/>
          <w:szCs w:val="22"/>
        </w:rPr>
      </w:pPr>
    </w:p>
    <w:p w:rsidR="00286F19" w:rsidRPr="00286F19" w:rsidRDefault="00286F19" w:rsidP="00286F19">
      <w:pPr>
        <w:pStyle w:val="Textoindependiente"/>
        <w:spacing w:before="79" w:after="78" w:line="360" w:lineRule="auto"/>
        <w:ind w:right="221"/>
        <w:jc w:val="both"/>
        <w:rPr>
          <w:rFonts w:asciiTheme="minorHAnsi" w:hAnsiTheme="minorHAnsi"/>
          <w:sz w:val="22"/>
          <w:szCs w:val="22"/>
        </w:rPr>
      </w:pPr>
      <w:r w:rsidRPr="00286F19">
        <w:rPr>
          <w:rFonts w:asciiTheme="minorHAnsi" w:hAnsiTheme="minorHAnsi"/>
          <w:sz w:val="22"/>
          <w:szCs w:val="22"/>
        </w:rPr>
        <w:t>Instituto de Estudios Internacionales INTE, Universidad Arturo Prat</w:t>
      </w:r>
    </w:p>
    <w:p w:rsidR="00286F19" w:rsidRPr="00286F19" w:rsidRDefault="00286F19" w:rsidP="00286F19">
      <w:pPr>
        <w:pStyle w:val="Textoindependiente"/>
        <w:spacing w:before="79" w:after="78" w:line="360" w:lineRule="auto"/>
        <w:ind w:right="221"/>
        <w:jc w:val="both"/>
        <w:rPr>
          <w:rFonts w:asciiTheme="minorHAnsi" w:hAnsiTheme="minorHAnsi"/>
          <w:sz w:val="22"/>
          <w:szCs w:val="22"/>
        </w:rPr>
      </w:pPr>
      <w:r w:rsidRPr="00286F19">
        <w:rPr>
          <w:rFonts w:asciiTheme="minorHAnsi" w:hAnsiTheme="minorHAnsi"/>
          <w:sz w:val="22"/>
          <w:szCs w:val="22"/>
        </w:rPr>
        <w:t xml:space="preserve">Dirección de contacto: </w:t>
      </w:r>
      <w:hyperlink r:id="rId4" w:history="1">
        <w:r w:rsidRPr="00286F19">
          <w:rPr>
            <w:rStyle w:val="Hipervnculo"/>
            <w:rFonts w:asciiTheme="minorHAnsi" w:hAnsiTheme="minorHAnsi"/>
            <w:sz w:val="22"/>
            <w:szCs w:val="22"/>
          </w:rPr>
          <w:t>nliberonac@gmail.com</w:t>
        </w:r>
      </w:hyperlink>
    </w:p>
    <w:p w:rsidR="00286F19" w:rsidRDefault="00286F19" w:rsidP="00286F19">
      <w:pPr>
        <w:pStyle w:val="Textoindependiente"/>
        <w:spacing w:before="79" w:after="78" w:line="360" w:lineRule="auto"/>
        <w:ind w:right="221"/>
        <w:jc w:val="both"/>
        <w:rPr>
          <w:rFonts w:asciiTheme="minorHAnsi" w:hAnsiTheme="minorHAnsi"/>
          <w:sz w:val="22"/>
          <w:szCs w:val="22"/>
        </w:rPr>
      </w:pPr>
      <w:r w:rsidRPr="00286F19">
        <w:rPr>
          <w:rFonts w:asciiTheme="minorHAnsi" w:hAnsiTheme="minorHAnsi"/>
          <w:sz w:val="22"/>
          <w:szCs w:val="22"/>
        </w:rPr>
        <w:t xml:space="preserve">Av. Arturo Prat 2120, </w:t>
      </w:r>
      <w:r w:rsidRPr="00286F19">
        <w:rPr>
          <w:rFonts w:asciiTheme="minorHAnsi" w:hAnsiTheme="minorHAnsi"/>
          <w:sz w:val="22"/>
          <w:szCs w:val="22"/>
        </w:rPr>
        <w:t>Iquique, Chile.</w:t>
      </w:r>
    </w:p>
    <w:p w:rsidR="00286F19" w:rsidRPr="00286F19" w:rsidRDefault="00286F19" w:rsidP="00286F19">
      <w:pPr>
        <w:pStyle w:val="Textoindependiente"/>
        <w:spacing w:before="79" w:after="78" w:line="360" w:lineRule="auto"/>
        <w:ind w:right="221"/>
        <w:jc w:val="both"/>
        <w:rPr>
          <w:rFonts w:asciiTheme="minorHAnsi" w:hAnsiTheme="minorHAnsi"/>
          <w:sz w:val="22"/>
          <w:szCs w:val="22"/>
        </w:rPr>
      </w:pPr>
      <w:r>
        <w:rPr>
          <w:rFonts w:asciiTheme="minorHAnsi" w:hAnsiTheme="minorHAnsi"/>
          <w:sz w:val="22"/>
          <w:szCs w:val="22"/>
        </w:rPr>
        <w:t>Comunicación en español.</w:t>
      </w:r>
    </w:p>
    <w:p w:rsidR="00343792" w:rsidRPr="00286F19" w:rsidRDefault="00343792" w:rsidP="00286F19">
      <w:pPr>
        <w:pStyle w:val="Textoindependiente"/>
        <w:spacing w:before="79" w:after="78" w:line="360" w:lineRule="auto"/>
        <w:ind w:right="221"/>
        <w:jc w:val="both"/>
        <w:rPr>
          <w:rFonts w:asciiTheme="minorHAnsi" w:hAnsiTheme="minorHAnsi"/>
          <w:sz w:val="22"/>
          <w:szCs w:val="22"/>
        </w:rPr>
      </w:pPr>
    </w:p>
    <w:p w:rsidR="000F39B7" w:rsidRPr="00286F19" w:rsidRDefault="000F39B7" w:rsidP="00286F19">
      <w:pPr>
        <w:pStyle w:val="Textoindependiente"/>
        <w:spacing w:before="79" w:after="78" w:line="360" w:lineRule="auto"/>
        <w:ind w:right="221" w:firstLine="50"/>
        <w:jc w:val="both"/>
        <w:rPr>
          <w:rFonts w:asciiTheme="minorHAnsi" w:hAnsiTheme="minorHAnsi"/>
          <w:sz w:val="22"/>
          <w:szCs w:val="22"/>
        </w:rPr>
      </w:pPr>
      <w:r w:rsidRPr="00286F19">
        <w:rPr>
          <w:rFonts w:asciiTheme="minorHAnsi" w:hAnsiTheme="minorHAnsi"/>
          <w:sz w:val="22"/>
          <w:szCs w:val="22"/>
        </w:rPr>
        <w:t>Eje 3: El papel de los imaginarios en la construcción de la convivencia y el conflicto</w:t>
      </w:r>
    </w:p>
    <w:p w:rsidR="00343792" w:rsidRPr="00286F19" w:rsidRDefault="00343792" w:rsidP="00286F19">
      <w:pPr>
        <w:pStyle w:val="Textoindependiente"/>
        <w:spacing w:before="79" w:after="78" w:line="360" w:lineRule="auto"/>
        <w:ind w:right="221" w:firstLine="50"/>
        <w:jc w:val="both"/>
        <w:rPr>
          <w:rFonts w:asciiTheme="minorHAnsi" w:hAnsiTheme="minorHAnsi"/>
          <w:sz w:val="22"/>
          <w:szCs w:val="22"/>
        </w:rPr>
      </w:pPr>
    </w:p>
    <w:p w:rsidR="00343792" w:rsidRPr="00286F19" w:rsidRDefault="00892F69" w:rsidP="00372EF8">
      <w:pPr>
        <w:pStyle w:val="Textoindependiente"/>
        <w:spacing w:before="79" w:after="78" w:line="360" w:lineRule="auto"/>
        <w:ind w:right="221"/>
        <w:jc w:val="both"/>
        <w:rPr>
          <w:rFonts w:asciiTheme="minorHAnsi" w:hAnsiTheme="minorHAnsi"/>
          <w:sz w:val="22"/>
          <w:szCs w:val="22"/>
        </w:rPr>
      </w:pPr>
      <w:r w:rsidRPr="00286F19">
        <w:rPr>
          <w:rFonts w:asciiTheme="minorHAnsi" w:hAnsiTheme="minorHAnsi"/>
          <w:sz w:val="22"/>
          <w:szCs w:val="22"/>
        </w:rPr>
        <w:t xml:space="preserve">Desde la década de los noventa, la población migrante en Chile ha aumentado de manera significativa. Hoy, la cifra de extranjeros residentes es el doble que hace una década, con una alta concentración de población latinoamericana. </w:t>
      </w:r>
      <w:r w:rsidR="00CD162F">
        <w:rPr>
          <w:rFonts w:asciiTheme="minorHAnsi" w:hAnsiTheme="minorHAnsi"/>
          <w:sz w:val="22"/>
          <w:szCs w:val="22"/>
        </w:rPr>
        <w:t xml:space="preserve">Por su parte, la region de Tarapacá es la region con mayor proporción de inmigrantes en relación a la población nacional, siendo la ciudad de Alto Hospicio la que ha tenido mayor aumento de población en los últimos años, particularmente por la ocupación informal de terrenos, denominados “tomas”. </w:t>
      </w:r>
      <w:r w:rsidRPr="00286F19">
        <w:rPr>
          <w:rFonts w:asciiTheme="minorHAnsi" w:hAnsiTheme="minorHAnsi"/>
          <w:sz w:val="22"/>
          <w:szCs w:val="22"/>
        </w:rPr>
        <w:t xml:space="preserve">Estudios que han abordado la dimensión espacial de la migración, muestran como las redes migratorias operan de manera clave en la creación de enclaves étnicos al interior de la ciudad, con altos niveles de segregación residencial. En este contexto, la llegada de residentes extranjeros a espacios barriales pone en tensión las relaciones sociales, los espacios públicos y las prácticas culturales ya existentes. Dicha segregación sin duda representa una modificación sustantiva del espacio público y de los </w:t>
      </w:r>
      <w:r w:rsidR="00CD162F">
        <w:rPr>
          <w:rFonts w:asciiTheme="minorHAnsi" w:hAnsiTheme="minorHAnsi"/>
          <w:sz w:val="22"/>
          <w:szCs w:val="22"/>
        </w:rPr>
        <w:t>“</w:t>
      </w:r>
      <w:r w:rsidRPr="00286F19">
        <w:rPr>
          <w:rFonts w:asciiTheme="minorHAnsi" w:hAnsiTheme="minorHAnsi"/>
          <w:sz w:val="22"/>
          <w:szCs w:val="22"/>
        </w:rPr>
        <w:t>barrios</w:t>
      </w:r>
      <w:r w:rsidR="00CD162F">
        <w:rPr>
          <w:rFonts w:asciiTheme="minorHAnsi" w:hAnsiTheme="minorHAnsi"/>
          <w:sz w:val="22"/>
          <w:szCs w:val="22"/>
        </w:rPr>
        <w:t>”</w:t>
      </w:r>
      <w:r w:rsidRPr="00286F19">
        <w:rPr>
          <w:rFonts w:asciiTheme="minorHAnsi" w:hAnsiTheme="minorHAnsi"/>
          <w:sz w:val="22"/>
          <w:szCs w:val="22"/>
        </w:rPr>
        <w:t xml:space="preserve"> donde residen o trabajan los nuevos ocupantes del tejido urbano. La llegada de grupos migrantes y la desigual ocupación del territorio, configura un paisaje urbano heterogéneo que sin duda impacta sobre la calidad de vida de sus ocupantes y las relaciones sociales que ahí se desarrollan. Más aún, en estos espacios el territorio actúa como recurso material y simbólico, que se convierte en objeto de disputa, favoreciendo el surgimiento de conflictos al interior de estos </w:t>
      </w:r>
      <w:r w:rsidR="00CD162F">
        <w:rPr>
          <w:rFonts w:asciiTheme="minorHAnsi" w:hAnsiTheme="minorHAnsi"/>
          <w:sz w:val="22"/>
          <w:szCs w:val="22"/>
        </w:rPr>
        <w:t>“</w:t>
      </w:r>
      <w:r w:rsidRPr="00286F19">
        <w:rPr>
          <w:rFonts w:asciiTheme="minorHAnsi" w:hAnsiTheme="minorHAnsi"/>
          <w:sz w:val="22"/>
          <w:szCs w:val="22"/>
        </w:rPr>
        <w:t>barrios</w:t>
      </w:r>
      <w:r w:rsidR="00CD162F">
        <w:rPr>
          <w:rFonts w:asciiTheme="minorHAnsi" w:hAnsiTheme="minorHAnsi"/>
          <w:sz w:val="22"/>
          <w:szCs w:val="22"/>
        </w:rPr>
        <w:t>”</w:t>
      </w:r>
      <w:r w:rsidRPr="00286F19">
        <w:rPr>
          <w:rFonts w:asciiTheme="minorHAnsi" w:hAnsiTheme="minorHAnsi"/>
          <w:sz w:val="22"/>
          <w:szCs w:val="22"/>
        </w:rPr>
        <w:t xml:space="preserve">. </w:t>
      </w:r>
    </w:p>
    <w:p w:rsidR="00286F19" w:rsidRDefault="00286F19" w:rsidP="00372EF8">
      <w:pPr>
        <w:spacing w:before="22" w:line="360" w:lineRule="auto"/>
        <w:jc w:val="both"/>
      </w:pPr>
      <w:r w:rsidRPr="00286F19">
        <w:lastRenderedPageBreak/>
        <w:t xml:space="preserve">Los objetivos perseguidos en </w:t>
      </w:r>
      <w:r w:rsidR="00CD162F">
        <w:t>nuestra</w:t>
      </w:r>
      <w:r w:rsidRPr="00286F19">
        <w:t xml:space="preserve"> investigación son los siguiente: </w:t>
      </w:r>
      <w:r w:rsidRPr="00286F19">
        <w:t xml:space="preserve">i. Identificar y describir los principales conflictos interétnicos a nivel barrial en sectores residenciales y comerciales con alta concentración de población migrante. ii. Indagar en las percepciones sociales de la población nacional respecto de la llegada y asentamiento de grupos extranjeros en su </w:t>
      </w:r>
      <w:r w:rsidR="00372EF8">
        <w:t>“barrio”</w:t>
      </w:r>
      <w:r w:rsidRPr="00286F19">
        <w:t>, el impacto sobre la calidad de vida y las relaciones vecinales. iii. Conocer las estrategias adaptativas de los migrantes en la búsqueda del reconocimiento, el proceso de integración a la comunidad de destino y el uso del espacio público y pr</w:t>
      </w:r>
      <w:r w:rsidR="00372EF8">
        <w:t>ivado en su zona residencial</w:t>
      </w:r>
      <w:r w:rsidRPr="00286F19">
        <w:t>. iv. Explorar los recursos y mecanismos comunitarios e institucionales disponibles para resolver y gestionar conflictos vecinales in</w:t>
      </w:r>
      <w:r w:rsidR="00372EF8">
        <w:t xml:space="preserve">terétnicos a escala barrial. </w:t>
      </w:r>
      <w:r w:rsidR="00372EF8" w:rsidRPr="00286F19">
        <w:t>Lo importante acá es observar el proceso de conformación de organizaciones vecinales y comunitarias, con especial énfasis en la irregularidad de la vivienda y la relación que establecen con el entorno.</w:t>
      </w:r>
      <w:bookmarkStart w:id="0" w:name="_GoBack"/>
      <w:bookmarkEnd w:id="0"/>
    </w:p>
    <w:p w:rsidR="00372EF8" w:rsidRPr="00286F19" w:rsidRDefault="00372EF8" w:rsidP="00286F19">
      <w:pPr>
        <w:pStyle w:val="Textoindependiente"/>
        <w:spacing w:line="360" w:lineRule="auto"/>
        <w:ind w:right="215"/>
        <w:jc w:val="both"/>
        <w:rPr>
          <w:rFonts w:asciiTheme="minorHAnsi" w:hAnsiTheme="minorHAnsi"/>
          <w:sz w:val="22"/>
          <w:szCs w:val="22"/>
        </w:rPr>
      </w:pPr>
    </w:p>
    <w:p w:rsidR="00286F19" w:rsidRDefault="00372EF8" w:rsidP="00372EF8">
      <w:pPr>
        <w:spacing w:before="22" w:line="360" w:lineRule="auto"/>
        <w:jc w:val="both"/>
      </w:pPr>
      <w:r>
        <w:t>La zona residencia escogida es difícilmente considerada como un “b</w:t>
      </w:r>
      <w:r w:rsidR="00286F19" w:rsidRPr="00286F19">
        <w:t>arrio</w:t>
      </w:r>
      <w:r>
        <w:t xml:space="preserve">”, sin embargo, la escala estudiada sí corresponde a lo que se conoce comúnmente como barrio, por este motivo ponemos esta palabra entre comillas. El sector observado es conocido como La Pampa, ubicado en la ciudad de </w:t>
      </w:r>
      <w:r w:rsidR="00286F19" w:rsidRPr="00286F19">
        <w:t>Alto Hospicio</w:t>
      </w:r>
      <w:r>
        <w:t xml:space="preserve">, </w:t>
      </w:r>
      <w:r w:rsidR="00286F19" w:rsidRPr="00286F19">
        <w:t xml:space="preserve">comuna compuesta por conjuntos de vivienda social y alta concentración de grupos socioeconómicos medio-bajo y bajo. Desde hace un tiempo, existe también </w:t>
      </w:r>
      <w:r>
        <w:t>varias</w:t>
      </w:r>
      <w:r w:rsidR="00286F19" w:rsidRPr="00286F19">
        <w:t xml:space="preserve"> </w:t>
      </w:r>
      <w:r>
        <w:t>“</w:t>
      </w:r>
      <w:r w:rsidR="00286F19" w:rsidRPr="00286F19">
        <w:t>toma</w:t>
      </w:r>
      <w:r>
        <w:t>s</w:t>
      </w:r>
      <w:r w:rsidR="00286F19" w:rsidRPr="00286F19">
        <w:t xml:space="preserve"> de terreno</w:t>
      </w:r>
      <w:r>
        <w:t>”</w:t>
      </w:r>
      <w:r w:rsidR="00286F19" w:rsidRPr="00286F19">
        <w:t xml:space="preserve">, donde reside una alta proporción de </w:t>
      </w:r>
      <w:r>
        <w:t>población extranjera, que se ha</w:t>
      </w:r>
      <w:r w:rsidR="00286F19" w:rsidRPr="00286F19">
        <w:t xml:space="preserve"> comenzado a organizar en torno a comités de vivienda y otras organizaciones comunitarias. </w:t>
      </w:r>
      <w:r>
        <w:t>Las “tomas” son por tanto zonas residenciales informales, ocupaciones de terreno realizadas por personas que no encuentran una solución habitacional, al no contar con recursos económicos suficientes.</w:t>
      </w:r>
    </w:p>
    <w:p w:rsidR="00372EF8" w:rsidRDefault="00372EF8" w:rsidP="00372EF8">
      <w:pPr>
        <w:spacing w:before="22" w:line="360" w:lineRule="auto"/>
        <w:jc w:val="both"/>
      </w:pPr>
    </w:p>
    <w:p w:rsidR="00372EF8" w:rsidRPr="00286F19" w:rsidRDefault="00372EF8" w:rsidP="00372EF8">
      <w:pPr>
        <w:spacing w:before="22" w:line="360" w:lineRule="auto"/>
        <w:jc w:val="both"/>
      </w:pPr>
      <w:r w:rsidRPr="00372EF8">
        <w:t>El explosivo aumento de la migración intrarregional durante las últimas décadas</w:t>
      </w:r>
      <w:r w:rsidR="0076438B">
        <w:t xml:space="preserve"> en el país</w:t>
      </w:r>
      <w:r w:rsidRPr="00372EF8">
        <w:t xml:space="preserve">, sin duda ha impactado en la configuración de los espacios públicos donde estos nuevos integrantes residen o desarrollan sus actividades cotidianas. Como señala Garcés (2012, p.172) en relación a la migración peruana, los espacios de concentración de la migración “inauguran o imponen nuevas formas de organización espacial que se superponen a las existentes en la ciudad”, lo que bien puede aplicarse a otros colectivos migrantes con alta concentración espacial. Estas transformaciones tensionan las prácticas culturales existentes y las relaciones sociales que se desarrollan en el espacio barrial, afectando las calidad de vida de viejos y nuevos habitantes, lo que genera una situación de conflicto en la disputa entre el reconocimiento, la discriminación y la integración. No obstante, si </w:t>
      </w:r>
      <w:r w:rsidRPr="00372EF8">
        <w:lastRenderedPageBreak/>
        <w:t xml:space="preserve">bien estos conflictos tienden a visibilizarse ‘a partir’ de la presencia y concentración espacial de grupos migrantes, el foco debe estar puesto en la interacción entre grupos étnicos diferentes y no pensar los conflictos como ‘generados por’ la migración. Lo que interesa acá es estudiar la convivencia entre un conjunto de vecinos que cohabitan un espacio, con intereses y dinámicas de todo tipo, el que muchas veces es escenario para el surgimiento de conflictos de mayor o menor escala (Gómez Crespo &amp; Martínez Aranda 2012). </w:t>
      </w:r>
      <w:r w:rsidR="0076438B">
        <w:t>L</w:t>
      </w:r>
      <w:r w:rsidRPr="00372EF8">
        <w:t xml:space="preserve">as dinámicas y patrones de movilidad humana en las zonas fronterizas </w:t>
      </w:r>
      <w:r w:rsidR="0076438B">
        <w:t>c</w:t>
      </w:r>
      <w:r w:rsidRPr="00372EF8">
        <w:t>uentan con la presencia histórica de grupos</w:t>
      </w:r>
      <w:r w:rsidR="0076438B">
        <w:t xml:space="preserve"> de</w:t>
      </w:r>
      <w:r w:rsidRPr="00372EF8">
        <w:t xml:space="preserve"> extranjeros, con una larga tradición de intercambio,</w:t>
      </w:r>
      <w:r w:rsidR="0076438B">
        <w:t xml:space="preserve"> movilidad y circulación, que las</w:t>
      </w:r>
      <w:r w:rsidRPr="00372EF8">
        <w:t xml:space="preserve"> convierten en un espacio transnacional (Tapia 2015). En las zonas fronterizas</w:t>
      </w:r>
      <w:r w:rsidR="0076438B">
        <w:t>, como la región de Tarapacá,</w:t>
      </w:r>
      <w:r w:rsidRPr="00372EF8">
        <w:t xml:space="preserve"> se presentan dinámicas de integración, intercambio y circularidad de la migración que no necesariamente está</w:t>
      </w:r>
      <w:r w:rsidR="0076438B">
        <w:t>n</w:t>
      </w:r>
      <w:r w:rsidRPr="00372EF8">
        <w:t xml:space="preserve"> exenta</w:t>
      </w:r>
      <w:r w:rsidR="0076438B">
        <w:t>s de conflictos (Garcés 2014). Sin embargo, l</w:t>
      </w:r>
      <w:r w:rsidRPr="00372EF8">
        <w:t>a lucha por el reconocimiento se encuentra a la base de las relaciones sociales a nivel barrial y, por tanto, también de los conflictos interétnicos que allí puedan producirse. En esta línea, si bien se han adoptado algunas iniciativas</w:t>
      </w:r>
      <w:r w:rsidR="0076438B">
        <w:t xml:space="preserve"> en Chile</w:t>
      </w:r>
      <w:r w:rsidRPr="00372EF8">
        <w:t xml:space="preserve"> a nivel local para abordar la problemática de la convivencia entre grupos de diverso origen étnico y cultural, como es el caso de Quilicura</w:t>
      </w:r>
      <w:r w:rsidR="0076438B">
        <w:t xml:space="preserve"> en la región Metropolitana</w:t>
      </w:r>
      <w:r w:rsidRPr="00372EF8">
        <w:t xml:space="preserve"> (Thayer et al. 2014), aún está pendiente la respuesta del Estado a nivel de política migratoria y de su rol en la regulación de los procesos de integración, convivencia y conflicto.</w:t>
      </w:r>
      <w:r w:rsidR="0076438B">
        <w:t xml:space="preserve"> A esta falencia, se suman los problemas de acceso a la vivienda, siendo el resultado de políticas neoliberales, con una mínima intervención del Estado en la planificación urbana</w:t>
      </w:r>
      <w:r w:rsidR="0076438B" w:rsidRPr="0076438B">
        <w:t xml:space="preserve"> </w:t>
      </w:r>
      <w:r w:rsidR="0076438B">
        <w:t xml:space="preserve">y </w:t>
      </w:r>
      <w:r w:rsidR="0076438B">
        <w:t>e</w:t>
      </w:r>
      <w:r w:rsidR="0076438B">
        <w:t>n</w:t>
      </w:r>
      <w:r w:rsidR="0076438B">
        <w:t xml:space="preserve"> la</w:t>
      </w:r>
      <w:r w:rsidR="0076438B" w:rsidRPr="0076438B">
        <w:t xml:space="preserve"> </w:t>
      </w:r>
      <w:r w:rsidR="0076438B">
        <w:t>regulación</w:t>
      </w:r>
      <w:r w:rsidR="0076438B">
        <w:t xml:space="preserve"> del mercado inmobiliario. Un fenómeno relativamente reciente es el </w:t>
      </w:r>
      <w:r w:rsidR="006F1A4A">
        <w:t>re</w:t>
      </w:r>
      <w:r w:rsidR="0076438B">
        <w:t xml:space="preserve">surgimiento de </w:t>
      </w:r>
      <w:r w:rsidR="006F1A4A">
        <w:t>ocupacio</w:t>
      </w:r>
      <w:r w:rsidR="006F1A4A">
        <w:t>n</w:t>
      </w:r>
      <w:r w:rsidR="006F1A4A">
        <w:t>es</w:t>
      </w:r>
      <w:r w:rsidR="006F1A4A">
        <w:t xml:space="preserve"> informal</w:t>
      </w:r>
      <w:r w:rsidR="006F1A4A">
        <w:t>es</w:t>
      </w:r>
      <w:r w:rsidR="006F1A4A">
        <w:t xml:space="preserve"> de ter</w:t>
      </w:r>
      <w:r w:rsidR="006F1A4A">
        <w:t xml:space="preserve">renos, llamados por el Estado </w:t>
      </w:r>
      <w:r w:rsidR="0076438B">
        <w:t xml:space="preserve">“campamentos” </w:t>
      </w:r>
      <w:r w:rsidR="006F1A4A">
        <w:t>y por los y las ocupantes “tomas”, ya que a principios de esta década se habían declarado como terminados, gracias a importantes proyectos de regularización y urbanización de viviendas informales. Sin embargo, en las regiones con mayor concentración de población inmigrante se observa en los últimos años el surgimiento de varias “tomas”, compuestas por población nacional y</w:t>
      </w:r>
      <w:r w:rsidR="0076438B">
        <w:t xml:space="preserve"> población inmigrante.</w:t>
      </w:r>
      <w:r w:rsidR="006F1A4A">
        <w:t xml:space="preserve"> </w:t>
      </w:r>
      <w:r w:rsidR="0076438B">
        <w:t xml:space="preserve"> </w:t>
      </w:r>
    </w:p>
    <w:p w:rsidR="00343792" w:rsidRPr="00286F19" w:rsidRDefault="00343792" w:rsidP="00286F19">
      <w:pPr>
        <w:pStyle w:val="Textoindependiente"/>
        <w:spacing w:before="6" w:line="360" w:lineRule="auto"/>
        <w:ind w:right="2"/>
        <w:jc w:val="both"/>
        <w:rPr>
          <w:rFonts w:asciiTheme="minorHAnsi" w:hAnsiTheme="minorHAnsi"/>
          <w:sz w:val="22"/>
          <w:szCs w:val="22"/>
        </w:rPr>
      </w:pPr>
    </w:p>
    <w:p w:rsidR="006F1A4A" w:rsidRPr="00286F19" w:rsidRDefault="006F1A4A" w:rsidP="006F1A4A">
      <w:pPr>
        <w:spacing w:before="22" w:line="360" w:lineRule="auto"/>
        <w:jc w:val="both"/>
      </w:pPr>
      <w:r>
        <w:t>Este es el scenario que proponemos exponer, presentando l</w:t>
      </w:r>
      <w:r w:rsidR="00343792" w:rsidRPr="00286F19">
        <w:t>os resultados de</w:t>
      </w:r>
      <w:r>
        <w:t xml:space="preserve"> una</w:t>
      </w:r>
      <w:r w:rsidR="00343792" w:rsidRPr="00286F19">
        <w:t xml:space="preserve"> investigación</w:t>
      </w:r>
      <w:r>
        <w:t xml:space="preserve"> con </w:t>
      </w:r>
      <w:r w:rsidRPr="00286F19">
        <w:t>enfoque exploratorio-descriptivo, a través de una metodología cualitativa y etnográfica. Para esto, se considera</w:t>
      </w:r>
      <w:r>
        <w:t>ro</w:t>
      </w:r>
      <w:r w:rsidRPr="00286F19">
        <w:t>n 3 técnica</w:t>
      </w:r>
      <w:r>
        <w:t xml:space="preserve">s: a. Observación participante </w:t>
      </w:r>
      <w:r w:rsidRPr="00286F19">
        <w:t xml:space="preserve">que </w:t>
      </w:r>
      <w:r>
        <w:t>buscó identificar la</w:t>
      </w:r>
      <w:r w:rsidRPr="00286F19">
        <w:t xml:space="preserve"> configuración espacial del territorio, las dinámicas de uso del espacio público y privado y caracterizar las relaciones sociales a nivel comunitario. b. </w:t>
      </w:r>
      <w:r w:rsidR="009930EA">
        <w:t xml:space="preserve">8 </w:t>
      </w:r>
      <w:r w:rsidRPr="00286F19">
        <w:t>Entrevistas individuales</w:t>
      </w:r>
      <w:r>
        <w:t xml:space="preserve"> </w:t>
      </w:r>
      <w:r w:rsidRPr="00286F19">
        <w:t xml:space="preserve">a actores clave que intervienen en </w:t>
      </w:r>
      <w:r>
        <w:t>el territorio</w:t>
      </w:r>
      <w:r w:rsidR="009930EA">
        <w:t>, con el fin de reconstituir la historia y</w:t>
      </w:r>
      <w:r w:rsidRPr="00286F19">
        <w:t xml:space="preserve"> configuración del </w:t>
      </w:r>
      <w:r w:rsidR="009930EA">
        <w:t>sector</w:t>
      </w:r>
      <w:r w:rsidRPr="00286F19">
        <w:t xml:space="preserve">, las percepciones sociales, </w:t>
      </w:r>
      <w:r w:rsidRPr="00286F19">
        <w:lastRenderedPageBreak/>
        <w:t xml:space="preserve">los principales conflictos de convivencia en el barrio y los recursos comunitarios disponibles. </w:t>
      </w:r>
      <w:r w:rsidR="009930EA">
        <w:t>c. 2 Entrevistas grupales que abordaron</w:t>
      </w:r>
      <w:r w:rsidRPr="00286F19">
        <w:t xml:space="preserve"> diferentes dimensiones de las relaciones vecinales y las percepciones de los habitantes con respecto al uso y ocupación del espacio público, </w:t>
      </w:r>
      <w:r w:rsidR="009930EA">
        <w:t>busca</w:t>
      </w:r>
      <w:r w:rsidRPr="00286F19">
        <w:t>n</w:t>
      </w:r>
      <w:r w:rsidR="009930EA">
        <w:t>do</w:t>
      </w:r>
      <w:r w:rsidRPr="00286F19">
        <w:t xml:space="preserve"> representar a los grupos étnicos presentes</w:t>
      </w:r>
      <w:r w:rsidR="009930EA">
        <w:t>.</w:t>
      </w:r>
    </w:p>
    <w:p w:rsidR="00CD162F" w:rsidRDefault="00892F69" w:rsidP="00372EF8">
      <w:pPr>
        <w:pStyle w:val="Textoindependiente"/>
        <w:spacing w:before="6" w:line="360" w:lineRule="auto"/>
        <w:ind w:right="2"/>
        <w:jc w:val="both"/>
        <w:rPr>
          <w:rFonts w:asciiTheme="minorHAnsi" w:hAnsiTheme="minorHAnsi"/>
          <w:sz w:val="22"/>
          <w:szCs w:val="22"/>
        </w:rPr>
      </w:pPr>
      <w:r w:rsidRPr="00286F19">
        <w:rPr>
          <w:rFonts w:asciiTheme="minorHAnsi" w:hAnsiTheme="minorHAnsi"/>
          <w:sz w:val="22"/>
          <w:szCs w:val="22"/>
        </w:rPr>
        <w:t>A partir de la información recopilada, lo que se busca es elaborar orientaciones y recomendaciones para el diseño e implementación de políticas e iniciativas públicas orientadas a la convivencia pacífica y la resolución de conflictos a escala barrial.</w:t>
      </w:r>
      <w:r w:rsidR="00343792" w:rsidRPr="00286F19">
        <w:rPr>
          <w:rFonts w:asciiTheme="minorHAnsi" w:hAnsiTheme="minorHAnsi"/>
          <w:sz w:val="22"/>
          <w:szCs w:val="22"/>
        </w:rPr>
        <w:t xml:space="preserve"> </w:t>
      </w:r>
      <w:r w:rsidR="00914F30" w:rsidRPr="00286F19">
        <w:rPr>
          <w:rFonts w:asciiTheme="minorHAnsi" w:hAnsiTheme="minorHAnsi"/>
          <w:sz w:val="22"/>
          <w:szCs w:val="22"/>
        </w:rPr>
        <w:t>En este sen</w:t>
      </w:r>
      <w:r w:rsidR="00286F19" w:rsidRPr="00286F19">
        <w:rPr>
          <w:rFonts w:asciiTheme="minorHAnsi" w:hAnsiTheme="minorHAnsi"/>
          <w:sz w:val="22"/>
          <w:szCs w:val="22"/>
        </w:rPr>
        <w:t xml:space="preserve">tido, el presente trabajo abordó </w:t>
      </w:r>
      <w:r w:rsidR="00914F30" w:rsidRPr="00286F19">
        <w:rPr>
          <w:rFonts w:asciiTheme="minorHAnsi" w:hAnsiTheme="minorHAnsi"/>
          <w:sz w:val="22"/>
          <w:szCs w:val="22"/>
        </w:rPr>
        <w:t>las siguientes interrogantes</w:t>
      </w:r>
      <w:r w:rsidR="00286F19" w:rsidRPr="00286F19">
        <w:rPr>
          <w:rFonts w:asciiTheme="minorHAnsi" w:hAnsiTheme="minorHAnsi"/>
          <w:sz w:val="22"/>
          <w:szCs w:val="22"/>
        </w:rPr>
        <w:t>, buscando poner el</w:t>
      </w:r>
      <w:r w:rsidR="00286F19" w:rsidRPr="00286F19">
        <w:rPr>
          <w:rFonts w:asciiTheme="minorHAnsi" w:hAnsiTheme="minorHAnsi"/>
          <w:sz w:val="22"/>
          <w:szCs w:val="22"/>
        </w:rPr>
        <w:t xml:space="preserve"> foco en las dinámicas de integración, la convivencia vecinal, los conflictos barriales y los mecanismos comunitarios e institucionales para resolverlos</w:t>
      </w:r>
      <w:r w:rsidR="00914F30" w:rsidRPr="00286F19">
        <w:rPr>
          <w:rFonts w:asciiTheme="minorHAnsi" w:hAnsiTheme="minorHAnsi"/>
          <w:sz w:val="22"/>
          <w:szCs w:val="22"/>
        </w:rPr>
        <w:t xml:space="preserve">: ¿Cómo impacta la concentración espacial de grupos migrantes en las relaciones sociales y la convivencia vecinal a nivel de barrio? ¿Cuáles son los principales conflictos vecinales que se producen en barrios con alta concentración espacial de grupos migrantes y cómo se desarrollan éstos? </w:t>
      </w:r>
      <w:r w:rsidR="00343792" w:rsidRPr="00286F19">
        <w:rPr>
          <w:rFonts w:asciiTheme="minorHAnsi" w:hAnsiTheme="minorHAnsi"/>
          <w:sz w:val="22"/>
          <w:szCs w:val="22"/>
        </w:rPr>
        <w:t>¿En qué influye la informalidad de los espacios residenciales o “tomas</w:t>
      </w:r>
      <w:r w:rsidR="00286F19" w:rsidRPr="00286F19">
        <w:rPr>
          <w:rFonts w:asciiTheme="minorHAnsi" w:hAnsiTheme="minorHAnsi"/>
          <w:sz w:val="22"/>
          <w:szCs w:val="22"/>
        </w:rPr>
        <w:t xml:space="preserve"> de terreno</w:t>
      </w:r>
      <w:r w:rsidR="00343792" w:rsidRPr="00286F19">
        <w:rPr>
          <w:rFonts w:asciiTheme="minorHAnsi" w:hAnsiTheme="minorHAnsi"/>
          <w:sz w:val="22"/>
          <w:szCs w:val="22"/>
        </w:rPr>
        <w:t>”</w:t>
      </w:r>
      <w:r w:rsidR="00286F19" w:rsidRPr="00286F19">
        <w:rPr>
          <w:rFonts w:asciiTheme="minorHAnsi" w:hAnsiTheme="minorHAnsi"/>
          <w:sz w:val="22"/>
          <w:szCs w:val="22"/>
        </w:rPr>
        <w:t xml:space="preserve"> en la convivencia interétnica y en la formación de imaginarios? </w:t>
      </w:r>
      <w:r w:rsidR="00914F30" w:rsidRPr="00286F19">
        <w:rPr>
          <w:rFonts w:asciiTheme="minorHAnsi" w:hAnsiTheme="minorHAnsi"/>
          <w:sz w:val="22"/>
          <w:szCs w:val="22"/>
        </w:rPr>
        <w:t>¿Cuáles son los recursos barriales disponibles y las vías de resolución de conflicto existentes en las relaciones vecinales interétnicas?</w:t>
      </w:r>
      <w:r w:rsidR="00343792" w:rsidRPr="00286F19">
        <w:rPr>
          <w:rFonts w:asciiTheme="minorHAnsi" w:hAnsiTheme="minorHAnsi"/>
          <w:sz w:val="22"/>
          <w:szCs w:val="22"/>
        </w:rPr>
        <w:t xml:space="preserve"> </w:t>
      </w:r>
    </w:p>
    <w:p w:rsidR="009930EA" w:rsidRDefault="009930EA" w:rsidP="00372EF8">
      <w:pPr>
        <w:pStyle w:val="Textoindependiente"/>
        <w:spacing w:before="6" w:line="360" w:lineRule="auto"/>
        <w:ind w:right="2"/>
        <w:jc w:val="both"/>
        <w:rPr>
          <w:rFonts w:asciiTheme="minorHAnsi" w:hAnsiTheme="minorHAnsi"/>
          <w:sz w:val="22"/>
          <w:szCs w:val="22"/>
        </w:rPr>
      </w:pPr>
    </w:p>
    <w:p w:rsidR="00372EF8" w:rsidRDefault="00372EF8" w:rsidP="00372EF8">
      <w:pPr>
        <w:pStyle w:val="Textoindependiente"/>
        <w:spacing w:before="6" w:line="360" w:lineRule="auto"/>
        <w:ind w:right="2"/>
        <w:jc w:val="both"/>
        <w:rPr>
          <w:rFonts w:asciiTheme="minorHAnsi" w:hAnsiTheme="minorHAnsi"/>
          <w:sz w:val="22"/>
          <w:szCs w:val="22"/>
        </w:rPr>
      </w:pPr>
    </w:p>
    <w:p w:rsidR="00914F30" w:rsidRPr="00286F19" w:rsidRDefault="00914F30" w:rsidP="00286F19">
      <w:pPr>
        <w:pStyle w:val="Textoindependiente"/>
        <w:spacing w:line="360" w:lineRule="auto"/>
        <w:ind w:right="215"/>
        <w:jc w:val="both"/>
        <w:rPr>
          <w:rFonts w:asciiTheme="minorHAnsi" w:hAnsiTheme="minorHAnsi"/>
          <w:sz w:val="22"/>
          <w:szCs w:val="22"/>
        </w:rPr>
      </w:pPr>
    </w:p>
    <w:p w:rsidR="00892F69" w:rsidRPr="00286F19" w:rsidRDefault="00892F69" w:rsidP="00286F19">
      <w:pPr>
        <w:spacing w:before="22" w:line="360" w:lineRule="auto"/>
        <w:jc w:val="both"/>
      </w:pPr>
    </w:p>
    <w:p w:rsidR="00914F30" w:rsidRPr="00286F19" w:rsidRDefault="00914F30" w:rsidP="00286F19">
      <w:pPr>
        <w:pStyle w:val="Textoindependiente"/>
        <w:spacing w:before="79" w:after="78" w:line="360" w:lineRule="auto"/>
        <w:ind w:right="221" w:firstLine="50"/>
        <w:jc w:val="both"/>
        <w:rPr>
          <w:rFonts w:asciiTheme="minorHAnsi" w:hAnsiTheme="minorHAnsi"/>
          <w:sz w:val="22"/>
          <w:szCs w:val="22"/>
        </w:rPr>
      </w:pPr>
    </w:p>
    <w:p w:rsidR="00914F30" w:rsidRPr="00286F19" w:rsidRDefault="00914F30" w:rsidP="00286F19">
      <w:pPr>
        <w:pStyle w:val="Textoindependiente"/>
        <w:spacing w:before="79" w:after="78" w:line="360" w:lineRule="auto"/>
        <w:ind w:right="221" w:firstLine="50"/>
        <w:jc w:val="both"/>
        <w:rPr>
          <w:rFonts w:asciiTheme="minorHAnsi" w:hAnsiTheme="minorHAnsi"/>
          <w:sz w:val="22"/>
          <w:szCs w:val="22"/>
        </w:rPr>
      </w:pPr>
    </w:p>
    <w:p w:rsidR="003E7EB6" w:rsidRPr="00286F19" w:rsidRDefault="003E7EB6" w:rsidP="00286F19">
      <w:pPr>
        <w:spacing w:line="360" w:lineRule="auto"/>
        <w:jc w:val="both"/>
      </w:pPr>
    </w:p>
    <w:sectPr w:rsidR="003E7EB6" w:rsidRPr="00286F1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F30"/>
    <w:rsid w:val="000F39B7"/>
    <w:rsid w:val="00286F19"/>
    <w:rsid w:val="00343792"/>
    <w:rsid w:val="00372EF8"/>
    <w:rsid w:val="003E7EB6"/>
    <w:rsid w:val="006F1A4A"/>
    <w:rsid w:val="0076438B"/>
    <w:rsid w:val="00892F69"/>
    <w:rsid w:val="00914F30"/>
    <w:rsid w:val="009930EA"/>
    <w:rsid w:val="00CD162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BB5F8F-E5F9-4F7D-9AD7-73F5A6DB8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914F30"/>
    <w:pPr>
      <w:widowControl w:val="0"/>
      <w:spacing w:after="0" w:line="240" w:lineRule="auto"/>
    </w:pPr>
    <w:rPr>
      <w:rFonts w:ascii="Times New Roman" w:eastAsia="Times New Roman" w:hAnsi="Times New Roman" w:cs="Times New Roman"/>
      <w:sz w:val="20"/>
      <w:szCs w:val="20"/>
      <w:lang w:val="en-US"/>
    </w:rPr>
  </w:style>
  <w:style w:type="character" w:customStyle="1" w:styleId="TextoindependienteCar">
    <w:name w:val="Texto independiente Car"/>
    <w:basedOn w:val="Fuentedeprrafopredeter"/>
    <w:link w:val="Textoindependiente"/>
    <w:uiPriority w:val="1"/>
    <w:rsid w:val="00914F30"/>
    <w:rPr>
      <w:rFonts w:ascii="Times New Roman" w:eastAsia="Times New Roman" w:hAnsi="Times New Roman" w:cs="Times New Roman"/>
      <w:sz w:val="20"/>
      <w:szCs w:val="20"/>
      <w:lang w:val="en-US"/>
    </w:rPr>
  </w:style>
  <w:style w:type="character" w:styleId="Hipervnculo">
    <w:name w:val="Hyperlink"/>
    <w:basedOn w:val="Fuentedeprrafopredeter"/>
    <w:uiPriority w:val="99"/>
    <w:unhideWhenUsed/>
    <w:rsid w:val="00286F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liberonac@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1402</Words>
  <Characters>7713</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Unap</Company>
  <LinksUpToDate>false</LinksUpToDate>
  <CharactersWithSpaces>9097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Nanette P. Liberona Concha</dc:creator>
  <cp:keywords/>
  <dc:description/>
  <cp:lastModifiedBy>Nanette P. Liberona Concha</cp:lastModifiedBy>
  <cp:revision>2</cp:revision>
  <dcterms:created xsi:type="dcterms:W3CDTF">2016-10-15T11:05:00Z</dcterms:created>
  <dcterms:modified xsi:type="dcterms:W3CDTF">2016-10-15T12:33:00Z</dcterms:modified>
</cp:coreProperties>
</file>