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7693" w:rsidRDefault="00427693" w:rsidP="00427693">
      <w:pPr>
        <w:jc w:val="both"/>
        <w:rPr>
          <w:rFonts w:ascii="Arial" w:hAnsi="Arial" w:cs="Arial"/>
          <w:sz w:val="24"/>
          <w:szCs w:val="24"/>
        </w:rPr>
      </w:pPr>
      <w:r>
        <w:rPr>
          <w:rFonts w:ascii="Arial" w:hAnsi="Arial" w:cs="Arial"/>
          <w:sz w:val="24"/>
          <w:szCs w:val="24"/>
        </w:rPr>
        <w:t>“</w:t>
      </w:r>
      <w:r>
        <w:rPr>
          <w:rFonts w:ascii="Arial" w:hAnsi="Arial" w:cs="Arial"/>
          <w:i/>
          <w:sz w:val="24"/>
          <w:szCs w:val="24"/>
        </w:rPr>
        <w:t>H</w:t>
      </w:r>
      <w:r w:rsidRPr="00D92800">
        <w:rPr>
          <w:rFonts w:ascii="Arial" w:hAnsi="Arial" w:cs="Arial"/>
          <w:i/>
          <w:sz w:val="24"/>
          <w:szCs w:val="24"/>
        </w:rPr>
        <w:t>ay que explicarles dónde llegan y cómo somos</w:t>
      </w:r>
      <w:r>
        <w:rPr>
          <w:rFonts w:ascii="Arial" w:hAnsi="Arial" w:cs="Arial"/>
          <w:sz w:val="24"/>
          <w:szCs w:val="24"/>
        </w:rPr>
        <w:t xml:space="preserve">”, </w:t>
      </w:r>
      <w:r>
        <w:rPr>
          <w:rFonts w:ascii="Arial" w:hAnsi="Arial" w:cs="Arial"/>
          <w:sz w:val="24"/>
          <w:szCs w:val="24"/>
        </w:rPr>
        <w:t xml:space="preserve">esta afirmación es muy común en escenarios institucionales del País Vasco. Y creo nos sugiere </w:t>
      </w:r>
      <w:r>
        <w:rPr>
          <w:rFonts w:ascii="Arial" w:hAnsi="Arial" w:cs="Arial"/>
          <w:sz w:val="24"/>
          <w:szCs w:val="24"/>
        </w:rPr>
        <w:t>la pr</w:t>
      </w:r>
      <w:r>
        <w:rPr>
          <w:rFonts w:ascii="Arial" w:hAnsi="Arial" w:cs="Arial"/>
          <w:sz w:val="24"/>
          <w:szCs w:val="24"/>
        </w:rPr>
        <w:t>egunta clave de esta propuesta</w:t>
      </w:r>
      <w:r>
        <w:rPr>
          <w:rFonts w:ascii="Arial" w:hAnsi="Arial" w:cs="Arial"/>
          <w:sz w:val="24"/>
          <w:szCs w:val="24"/>
        </w:rPr>
        <w:t>: ¿Quiénes explicamos a los Otros que somo</w:t>
      </w:r>
      <w:r>
        <w:rPr>
          <w:rFonts w:ascii="Arial" w:hAnsi="Arial" w:cs="Arial"/>
          <w:sz w:val="24"/>
          <w:szCs w:val="24"/>
        </w:rPr>
        <w:t>s? En este sentido, considero</w:t>
      </w:r>
      <w:r>
        <w:rPr>
          <w:rFonts w:ascii="Arial" w:hAnsi="Arial" w:cs="Arial"/>
          <w:sz w:val="24"/>
          <w:szCs w:val="24"/>
        </w:rPr>
        <w:t xml:space="preserve"> que los procesos migratorios constituyen un espacio clave para interrogarnos sobre un </w:t>
      </w:r>
      <w:r>
        <w:rPr>
          <w:rFonts w:ascii="Arial" w:hAnsi="Arial" w:cs="Arial"/>
          <w:sz w:val="24"/>
          <w:szCs w:val="24"/>
        </w:rPr>
        <w:t>“</w:t>
      </w:r>
      <w:r>
        <w:rPr>
          <w:rFonts w:ascii="Arial" w:hAnsi="Arial" w:cs="Arial"/>
          <w:sz w:val="24"/>
          <w:szCs w:val="24"/>
        </w:rPr>
        <w:t>nosotros</w:t>
      </w:r>
      <w:r>
        <w:rPr>
          <w:rFonts w:ascii="Arial" w:hAnsi="Arial" w:cs="Arial"/>
          <w:sz w:val="24"/>
          <w:szCs w:val="24"/>
        </w:rPr>
        <w:t>”</w:t>
      </w:r>
      <w:r>
        <w:rPr>
          <w:rFonts w:ascii="Arial" w:hAnsi="Arial" w:cs="Arial"/>
          <w:sz w:val="24"/>
          <w:szCs w:val="24"/>
        </w:rPr>
        <w:t xml:space="preserve"> que se encuentra con muchos Otros. Hay una dimensión de los desplazamientos de población que se presenta como un juego de espejos en el que se define al Otro por lo que no es y por lo que cree ser uno</w:t>
      </w:r>
      <w:r>
        <w:rPr>
          <w:rFonts w:ascii="Arial" w:hAnsi="Arial" w:cs="Arial"/>
          <w:sz w:val="24"/>
          <w:szCs w:val="24"/>
        </w:rPr>
        <w:t>. Ahora bien, consideraré</w:t>
      </w:r>
      <w:r>
        <w:rPr>
          <w:rFonts w:ascii="Arial" w:hAnsi="Arial" w:cs="Arial"/>
          <w:sz w:val="24"/>
          <w:szCs w:val="24"/>
        </w:rPr>
        <w:t xml:space="preserve"> que, en este juego de espejos, no hay dos entidades socioculturales diferenciadas que se miran y encuentran</w:t>
      </w:r>
      <w:r>
        <w:rPr>
          <w:rFonts w:ascii="Arial" w:hAnsi="Arial" w:cs="Arial"/>
          <w:sz w:val="24"/>
          <w:szCs w:val="24"/>
        </w:rPr>
        <w:t xml:space="preserve">. Propongo </w:t>
      </w:r>
      <w:r>
        <w:rPr>
          <w:rFonts w:ascii="Arial" w:hAnsi="Arial" w:cs="Arial"/>
          <w:sz w:val="24"/>
          <w:szCs w:val="24"/>
        </w:rPr>
        <w:t>una mirada más compleja que sitúa el ámbito de lo nacional, lo cultural y lo identitario en el marco de procesos históricos y relaciones económicas y políticas concretas. Desde aquí, aquel juego de espejos se torna complicado y el Otro “</w:t>
      </w:r>
      <w:r w:rsidRPr="00D82472">
        <w:rPr>
          <w:rFonts w:ascii="Arial" w:hAnsi="Arial" w:cs="Arial"/>
          <w:i/>
          <w:sz w:val="24"/>
          <w:szCs w:val="24"/>
        </w:rPr>
        <w:t>no está nunca afuera o más allá de nosotros; emerge necesariamente en el discurso cultural, cuando pensamos que hablamos más íntimamente y autóctonamente entre nosotros</w:t>
      </w:r>
      <w:r>
        <w:rPr>
          <w:rFonts w:ascii="Arial" w:hAnsi="Arial" w:cs="Arial"/>
          <w:sz w:val="24"/>
          <w:szCs w:val="24"/>
        </w:rPr>
        <w:t>” (</w:t>
      </w:r>
      <w:proofErr w:type="spellStart"/>
      <w:r>
        <w:rPr>
          <w:rFonts w:ascii="Arial" w:hAnsi="Arial" w:cs="Arial"/>
          <w:sz w:val="24"/>
          <w:szCs w:val="24"/>
        </w:rPr>
        <w:t>Bhabha</w:t>
      </w:r>
      <w:proofErr w:type="spellEnd"/>
      <w:r>
        <w:rPr>
          <w:rFonts w:ascii="Arial" w:hAnsi="Arial" w:cs="Arial"/>
          <w:sz w:val="24"/>
          <w:szCs w:val="24"/>
        </w:rPr>
        <w:t xml:space="preserve"> 2000: 216).</w:t>
      </w:r>
      <w:r w:rsidRPr="00427693">
        <w:rPr>
          <w:rFonts w:ascii="Arial" w:hAnsi="Arial" w:cs="Arial"/>
          <w:sz w:val="24"/>
          <w:szCs w:val="24"/>
        </w:rPr>
        <w:t xml:space="preserve"> </w:t>
      </w:r>
    </w:p>
    <w:p w:rsidR="00427693" w:rsidRDefault="00427693" w:rsidP="00427693">
      <w:pPr>
        <w:jc w:val="both"/>
        <w:rPr>
          <w:rFonts w:ascii="Arial" w:hAnsi="Arial" w:cs="Arial"/>
          <w:sz w:val="24"/>
          <w:szCs w:val="24"/>
        </w:rPr>
      </w:pPr>
      <w:r>
        <w:rPr>
          <w:rFonts w:ascii="Arial" w:hAnsi="Arial" w:cs="Arial"/>
          <w:sz w:val="24"/>
          <w:szCs w:val="24"/>
        </w:rPr>
        <w:t xml:space="preserve">Desde aquí, se trata de analizar </w:t>
      </w:r>
      <w:r>
        <w:rPr>
          <w:rFonts w:ascii="Arial" w:hAnsi="Arial" w:cs="Arial"/>
          <w:sz w:val="24"/>
          <w:szCs w:val="24"/>
        </w:rPr>
        <w:t xml:space="preserve">cómo influyen los procesos de construcción nacional en curso en la sociedad de llegada </w:t>
      </w:r>
      <w:r>
        <w:rPr>
          <w:rFonts w:ascii="Arial" w:hAnsi="Arial" w:cs="Arial"/>
          <w:sz w:val="24"/>
          <w:szCs w:val="24"/>
        </w:rPr>
        <w:t xml:space="preserve">en </w:t>
      </w:r>
      <w:r>
        <w:rPr>
          <w:rFonts w:ascii="Arial" w:hAnsi="Arial" w:cs="Arial"/>
          <w:sz w:val="24"/>
          <w:szCs w:val="24"/>
        </w:rPr>
        <w:t xml:space="preserve">la comprensión </w:t>
      </w:r>
      <w:r w:rsidR="009E68AE">
        <w:rPr>
          <w:rFonts w:ascii="Arial" w:hAnsi="Arial" w:cs="Arial"/>
          <w:sz w:val="24"/>
          <w:szCs w:val="24"/>
        </w:rPr>
        <w:t xml:space="preserve">de la diversidad y </w:t>
      </w:r>
      <w:r>
        <w:rPr>
          <w:rFonts w:ascii="Arial" w:hAnsi="Arial" w:cs="Arial"/>
          <w:sz w:val="24"/>
          <w:szCs w:val="24"/>
        </w:rPr>
        <w:t>del tipo de pol</w:t>
      </w:r>
      <w:r w:rsidR="009E68AE">
        <w:rPr>
          <w:rFonts w:ascii="Arial" w:hAnsi="Arial" w:cs="Arial"/>
          <w:sz w:val="24"/>
          <w:szCs w:val="24"/>
        </w:rPr>
        <w:t xml:space="preserve">íticas </w:t>
      </w:r>
      <w:r>
        <w:rPr>
          <w:rFonts w:ascii="Arial" w:hAnsi="Arial" w:cs="Arial"/>
          <w:sz w:val="24"/>
          <w:szCs w:val="24"/>
        </w:rPr>
        <w:t>que se elaboran y llevan a cabo. El análisis se centrará en la sociedad vasca, una sociedad plural, inmersa en la actualidad en un proceso de construcción nacional, es decir, en un proceso de homogenización cultural en lo que a sus habitantes nativos se refiere. Además, en el caso de la sociedad vasca este proceso tiene en gran parte como referente a otros movimientos migratorios del pasado que forman parte, entre otros, de los factores desencadenantes de este mismo proceso de construcción nacional</w:t>
      </w:r>
      <w:r>
        <w:rPr>
          <w:rFonts w:ascii="Arial" w:hAnsi="Arial" w:cs="Arial"/>
          <w:sz w:val="24"/>
          <w:szCs w:val="24"/>
        </w:rPr>
        <w:t>.</w:t>
      </w:r>
    </w:p>
    <w:p w:rsidR="00427693" w:rsidRPr="00427693" w:rsidRDefault="00427693" w:rsidP="00427693">
      <w:pPr>
        <w:jc w:val="both"/>
        <w:rPr>
          <w:rFonts w:ascii="Arial" w:hAnsi="Arial" w:cs="Arial"/>
          <w:sz w:val="24"/>
          <w:szCs w:val="24"/>
        </w:rPr>
      </w:pPr>
      <w:r>
        <w:rPr>
          <w:rFonts w:ascii="Arial" w:hAnsi="Arial" w:cs="Arial"/>
          <w:sz w:val="24"/>
          <w:szCs w:val="24"/>
        </w:rPr>
        <w:t xml:space="preserve">Se trata, en definitiva, de entrar a las dimensiones más políticas de la diversidad a través de ese juego de </w:t>
      </w:r>
      <w:r w:rsidR="009E68AE">
        <w:rPr>
          <w:rFonts w:ascii="Arial" w:hAnsi="Arial" w:cs="Arial"/>
          <w:sz w:val="24"/>
          <w:szCs w:val="24"/>
        </w:rPr>
        <w:t xml:space="preserve">espejos que es activado (entre otros factores) por los desplazamientos de población. </w:t>
      </w:r>
      <w:bookmarkStart w:id="0" w:name="_GoBack"/>
      <w:bookmarkEnd w:id="0"/>
    </w:p>
    <w:sectPr w:rsidR="00427693" w:rsidRPr="0042769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693"/>
    <w:rsid w:val="00427693"/>
    <w:rsid w:val="009E68AE"/>
    <w:rsid w:val="00A76050"/>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1EB22D-A15A-470E-ADF3-E7288BB20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_trad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BEE81-37E2-4AA8-BE36-D5204CF8C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307</Words>
  <Characters>1691</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Ruiz Balzola</dc:creator>
  <cp:keywords/>
  <dc:description/>
  <cp:lastModifiedBy>Andrea Ruiz Balzola</cp:lastModifiedBy>
  <cp:revision>1</cp:revision>
  <dcterms:created xsi:type="dcterms:W3CDTF">2016-10-11T07:47:00Z</dcterms:created>
  <dcterms:modified xsi:type="dcterms:W3CDTF">2016-10-11T08:06:00Z</dcterms:modified>
</cp:coreProperties>
</file>