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92F" w:rsidRDefault="0084392F" w:rsidP="008439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Arturo Escobar ubica la ontología p</w:t>
      </w:r>
      <w:r w:rsidRPr="0084392F">
        <w:rPr>
          <w:rFonts w:ascii="Times New Roman" w:hAnsi="Times New Roman" w:cs="Times New Roman"/>
          <w:sz w:val="24"/>
          <w:szCs w:val="24"/>
        </w:rPr>
        <w:t>olítica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Blaser</w:t>
      </w:r>
      <w:proofErr w:type="spellEnd"/>
      <w:r>
        <w:rPr>
          <w:rFonts w:ascii="Times New Roman" w:hAnsi="Times New Roman" w:cs="Times New Roman"/>
          <w:sz w:val="24"/>
          <w:szCs w:val="24"/>
        </w:rPr>
        <w:t>, 2009)</w:t>
      </w:r>
      <w:r w:rsidRPr="0084392F">
        <w:rPr>
          <w:rFonts w:ascii="Times New Roman" w:hAnsi="Times New Roman" w:cs="Times New Roman"/>
          <w:sz w:val="24"/>
          <w:szCs w:val="24"/>
        </w:rPr>
        <w:t xml:space="preserve"> como una tercera fase en los Estudios de Ecología Política, </w:t>
      </w:r>
      <w:r>
        <w:rPr>
          <w:rFonts w:ascii="Times New Roman" w:hAnsi="Times New Roman" w:cs="Times New Roman"/>
          <w:sz w:val="24"/>
          <w:szCs w:val="24"/>
        </w:rPr>
        <w:t>de la mano  del “giro ontológico”</w:t>
      </w:r>
      <w:r w:rsidRPr="0084392F">
        <w:rPr>
          <w:rFonts w:ascii="Times New Roman" w:hAnsi="Times New Roman" w:cs="Times New Roman"/>
          <w:sz w:val="24"/>
          <w:szCs w:val="24"/>
        </w:rPr>
        <w:t>. Se debe entender como una fase post-</w:t>
      </w:r>
      <w:r>
        <w:rPr>
          <w:rFonts w:ascii="Times New Roman" w:hAnsi="Times New Roman" w:cs="Times New Roman"/>
          <w:sz w:val="24"/>
          <w:szCs w:val="24"/>
        </w:rPr>
        <w:t>estructuralista</w:t>
      </w:r>
      <w:r w:rsidRPr="0084392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pero que también pretende superar al constructivismo</w:t>
      </w:r>
      <w:r w:rsidRPr="0084392F">
        <w:rPr>
          <w:rFonts w:ascii="Times New Roman" w:hAnsi="Times New Roman" w:cs="Times New Roman"/>
          <w:sz w:val="24"/>
          <w:szCs w:val="24"/>
        </w:rPr>
        <w:t>. No se trata de una vuelta a un realismo ingenuo, sino más bien de la incorporación en el análisis de las formas de hacer y de sentir, que están indisolublemente unidas al pensa</w:t>
      </w:r>
      <w:r>
        <w:rPr>
          <w:rFonts w:ascii="Times New Roman" w:hAnsi="Times New Roman" w:cs="Times New Roman"/>
          <w:sz w:val="24"/>
          <w:szCs w:val="24"/>
        </w:rPr>
        <w:t>r-decir, poniendo de manifiesto có</w:t>
      </w:r>
      <w:r w:rsidRPr="0084392F">
        <w:rPr>
          <w:rFonts w:ascii="Times New Roman" w:hAnsi="Times New Roman" w:cs="Times New Roman"/>
          <w:sz w:val="24"/>
          <w:szCs w:val="24"/>
        </w:rPr>
        <w:t xml:space="preserve">mo las formas de </w:t>
      </w:r>
      <w:r w:rsidRPr="0084392F">
        <w:rPr>
          <w:rFonts w:ascii="Times New Roman" w:hAnsi="Times New Roman" w:cs="Times New Roman"/>
          <w:i/>
          <w:sz w:val="24"/>
          <w:szCs w:val="24"/>
        </w:rPr>
        <w:t>habitar</w:t>
      </w:r>
      <w:r w:rsidRPr="0084392F">
        <w:rPr>
          <w:rFonts w:ascii="Times New Roman" w:hAnsi="Times New Roman" w:cs="Times New Roman"/>
          <w:sz w:val="24"/>
          <w:szCs w:val="24"/>
        </w:rPr>
        <w:t xml:space="preserve"> suponen modos de estar en el mu</w:t>
      </w:r>
      <w:r>
        <w:rPr>
          <w:rFonts w:ascii="Times New Roman" w:hAnsi="Times New Roman" w:cs="Times New Roman"/>
          <w:sz w:val="24"/>
          <w:szCs w:val="24"/>
        </w:rPr>
        <w:t>ndo.</w:t>
      </w:r>
      <w:r w:rsidRPr="008439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358A" w:rsidRDefault="0084392F" w:rsidP="008439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potencialidad de este programa de investigación radica en que permite la </w:t>
      </w:r>
      <w:r w:rsidRPr="0084392F">
        <w:rPr>
          <w:rFonts w:ascii="Times New Roman" w:hAnsi="Times New Roman" w:cs="Times New Roman"/>
          <w:sz w:val="24"/>
          <w:szCs w:val="24"/>
        </w:rPr>
        <w:t>incorporación</w:t>
      </w:r>
      <w:r>
        <w:rPr>
          <w:rFonts w:ascii="Times New Roman" w:hAnsi="Times New Roman" w:cs="Times New Roman"/>
          <w:sz w:val="24"/>
          <w:szCs w:val="24"/>
        </w:rPr>
        <w:t xml:space="preserve"> o/y el redescubrimiento de categorías de análisis que habían quedado en un segundo plano; </w:t>
      </w:r>
      <w:r w:rsidRPr="0084392F">
        <w:rPr>
          <w:rFonts w:ascii="Times New Roman" w:hAnsi="Times New Roman" w:cs="Times New Roman"/>
          <w:sz w:val="24"/>
          <w:szCs w:val="24"/>
        </w:rPr>
        <w:t xml:space="preserve">por ejemplo,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84392F">
        <w:rPr>
          <w:rFonts w:ascii="Times New Roman" w:hAnsi="Times New Roman" w:cs="Times New Roman"/>
          <w:i/>
          <w:sz w:val="24"/>
          <w:szCs w:val="24"/>
        </w:rPr>
        <w:t>relacionalidad</w:t>
      </w:r>
      <w:proofErr w:type="spellEnd"/>
      <w:r w:rsidRPr="0084392F">
        <w:rPr>
          <w:rFonts w:ascii="Times New Roman" w:hAnsi="Times New Roman" w:cs="Times New Roman"/>
          <w:sz w:val="24"/>
          <w:szCs w:val="24"/>
        </w:rPr>
        <w:t xml:space="preserve"> y</w:t>
      </w:r>
      <w:r>
        <w:rPr>
          <w:rFonts w:ascii="Times New Roman" w:hAnsi="Times New Roman" w:cs="Times New Roman"/>
          <w:sz w:val="24"/>
          <w:szCs w:val="24"/>
        </w:rPr>
        <w:t xml:space="preserve"> la</w:t>
      </w:r>
      <w:r w:rsidRPr="0084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392F">
        <w:rPr>
          <w:rFonts w:ascii="Times New Roman" w:hAnsi="Times New Roman" w:cs="Times New Roman"/>
          <w:i/>
          <w:sz w:val="24"/>
          <w:szCs w:val="24"/>
        </w:rPr>
        <w:t>comunalidad</w:t>
      </w:r>
      <w:proofErr w:type="spellEnd"/>
      <w:r w:rsidRPr="0084392F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mediante</w:t>
      </w:r>
      <w:r w:rsidRPr="0084392F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a que, en territorios concretos –</w:t>
      </w:r>
      <w:r>
        <w:rPr>
          <w:rFonts w:ascii="Times New Roman" w:hAnsi="Times New Roman" w:cs="Times New Roman"/>
          <w:i/>
          <w:sz w:val="24"/>
          <w:szCs w:val="24"/>
        </w:rPr>
        <w:t>lugares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4392F">
        <w:rPr>
          <w:rFonts w:ascii="Times New Roman" w:hAnsi="Times New Roman" w:cs="Times New Roman"/>
          <w:sz w:val="24"/>
          <w:szCs w:val="24"/>
        </w:rPr>
        <w:t xml:space="preserve"> se ponen en contacto seres humanos y animales, vivientes y no vi</w:t>
      </w:r>
      <w:r>
        <w:rPr>
          <w:rFonts w:ascii="Times New Roman" w:hAnsi="Times New Roman" w:cs="Times New Roman"/>
          <w:sz w:val="24"/>
          <w:szCs w:val="24"/>
        </w:rPr>
        <w:t>vientes, a</w:t>
      </w:r>
      <w:r w:rsidRPr="0084392F">
        <w:rPr>
          <w:rFonts w:ascii="Times New Roman" w:hAnsi="Times New Roman" w:cs="Times New Roman"/>
          <w:sz w:val="24"/>
          <w:szCs w:val="24"/>
        </w:rPr>
        <w:t xml:space="preserve">rtefactos tecnológicos y “cosas”, </w:t>
      </w:r>
      <w:r>
        <w:rPr>
          <w:rFonts w:ascii="Times New Roman" w:hAnsi="Times New Roman" w:cs="Times New Roman"/>
          <w:sz w:val="24"/>
          <w:szCs w:val="24"/>
        </w:rPr>
        <w:t xml:space="preserve">de cuyas tramas </w:t>
      </w:r>
      <w:r w:rsidRPr="0084392F">
        <w:rPr>
          <w:rFonts w:ascii="Times New Roman" w:hAnsi="Times New Roman" w:cs="Times New Roman"/>
          <w:sz w:val="24"/>
          <w:szCs w:val="24"/>
        </w:rPr>
        <w:t>surgen mundos de vida.</w:t>
      </w:r>
    </w:p>
    <w:p w:rsidR="0084392F" w:rsidRPr="0084392F" w:rsidRDefault="0084392F" w:rsidP="008439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Aprovechando el material etnográfico acumulado a lo largo de diversas investigaciones en entorno</w:t>
      </w:r>
      <w:r w:rsidR="00327C8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marinos, </w:t>
      </w:r>
      <w:r w:rsidR="00327C8D">
        <w:rPr>
          <w:rFonts w:ascii="Times New Roman" w:hAnsi="Times New Roman" w:cs="Times New Roman"/>
          <w:sz w:val="24"/>
          <w:szCs w:val="24"/>
        </w:rPr>
        <w:t xml:space="preserve">queremos </w:t>
      </w:r>
      <w:r>
        <w:rPr>
          <w:rFonts w:ascii="Times New Roman" w:hAnsi="Times New Roman" w:cs="Times New Roman"/>
          <w:sz w:val="24"/>
          <w:szCs w:val="24"/>
        </w:rPr>
        <w:t xml:space="preserve">entresacar esa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relacionalidad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sustentada en modos de saber hacer y sentir, de pensar-hacer, que ponen en conexión a </w:t>
      </w:r>
      <w:r>
        <w:rPr>
          <w:rFonts w:ascii="Times New Roman" w:hAnsi="Times New Roman" w:cs="Times New Roman"/>
          <w:i/>
          <w:sz w:val="24"/>
          <w:szCs w:val="24"/>
        </w:rPr>
        <w:t xml:space="preserve">actantes </w:t>
      </w:r>
      <w:r>
        <w:rPr>
          <w:rFonts w:ascii="Times New Roman" w:hAnsi="Times New Roman" w:cs="Times New Roman"/>
          <w:sz w:val="24"/>
          <w:szCs w:val="24"/>
        </w:rPr>
        <w:t xml:space="preserve">de diversa naturaleza, cuya comprensión requiere el abandono definitivo de las dicotomías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episteme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moderna occidental. Así, queremos experimentar cómo una nueva mirada es capaz de sacar a relucir realidades hasta este momento no contempladas, o atendidas sólo parcialmente, en relación a las relaciones entre pescadores y especies, pescadores y artefactos, pescadores y otros elementos de los socio-ecosistemas litorales. Las experiencias etnográficas en almadrabas, corrales de pesca y diversas formas de pesquería</w:t>
      </w:r>
      <w:r w:rsidR="00327C8D">
        <w:rPr>
          <w:rFonts w:ascii="Times New Roman" w:hAnsi="Times New Roman" w:cs="Times New Roman"/>
          <w:sz w:val="24"/>
          <w:szCs w:val="24"/>
        </w:rPr>
        <w:t>s de pequeña escala</w:t>
      </w:r>
      <w:r>
        <w:rPr>
          <w:rFonts w:ascii="Times New Roman" w:hAnsi="Times New Roman" w:cs="Times New Roman"/>
          <w:sz w:val="24"/>
          <w:szCs w:val="24"/>
        </w:rPr>
        <w:t xml:space="preserve"> aportarán el material cultural sobre el que reflexionar desde esta nueva mirada.</w:t>
      </w:r>
      <w:r w:rsidR="00327C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Un objetivo ulterior es considerar los efectos que puede tener sobre la gestión local de los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socioecosistemas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marinos, que atraviesan una importante crisis, biológica social e institucional. </w:t>
      </w:r>
    </w:p>
    <w:sectPr w:rsidR="0084392F" w:rsidRPr="0084392F" w:rsidSect="001F35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84392F"/>
    <w:rsid w:val="001F358A"/>
    <w:rsid w:val="00327C8D"/>
    <w:rsid w:val="005F7100"/>
    <w:rsid w:val="006B310D"/>
    <w:rsid w:val="0084392F"/>
    <w:rsid w:val="009A4B7F"/>
    <w:rsid w:val="00A626A8"/>
    <w:rsid w:val="00E57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58A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aliases w:val="Texto nota al pie"/>
    <w:unhideWhenUsed/>
    <w:qFormat/>
    <w:rsid w:val="005F7100"/>
    <w:rPr>
      <w:rFonts w:ascii="Arial" w:hAnsi="Arial"/>
      <w:sz w:val="18"/>
      <w:szCs w:val="24"/>
      <w:vertAlign w:val="superscript"/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309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dcterms:created xsi:type="dcterms:W3CDTF">2016-10-15T15:48:00Z</dcterms:created>
  <dcterms:modified xsi:type="dcterms:W3CDTF">2016-10-15T16:22:00Z</dcterms:modified>
</cp:coreProperties>
</file>