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bookmarkStart w:id="0" w:name="__DdeLink__26_487880111"/>
      <w:bookmarkEnd w:id="0"/>
      <w:r>
        <w:rPr>
          <w:b/>
          <w:bCs/>
        </w:rPr>
        <w:t xml:space="preserve">Cambios en la atención perinatal. De derechos de las mujeres a evidencia científica o lo que se pierde por el camino </w:t>
      </w:r>
    </w:p>
    <w:p>
      <w:pPr>
        <w:pStyle w:val="style0"/>
      </w:pPr>
      <w:r>
        <w:rPr>
          <w:b/>
          <w:bCs/>
        </w:rPr>
      </w:r>
    </w:p>
    <w:p>
      <w:pPr>
        <w:pStyle w:val="style0"/>
      </w:pPr>
      <w:r>
        <w:rPr/>
        <w:t>A partir de 2007, y haciéndose eco</w:t>
      </w:r>
      <w:r>
        <w:rPr>
          <w:b w:val="false"/>
          <w:bCs w:val="false"/>
        </w:rPr>
        <w:t xml:space="preserve"> de </w:t>
      </w:r>
      <w:r>
        <w:rPr/>
        <w:t xml:space="preserve">tendencias internacionales, empieza en el Estado español un proceso de “humanización” de la atención perinatal. El principal documento de referencia es la </w:t>
      </w:r>
      <w:r>
        <w:rPr>
          <w:i/>
          <w:iCs/>
        </w:rPr>
        <w:t>Estrategia de atención al parto normal</w:t>
      </w:r>
      <w:r>
        <w:rPr/>
        <w:t xml:space="preserve">, promovida por el Observatorio de Salud de la Mujer y la Dirección General Agencia de Calidad del </w:t>
      </w:r>
      <w:r>
        <w:rPr>
          <w:b w:val="false"/>
          <w:bCs w:val="false"/>
        </w:rPr>
        <w:t>MSC</w:t>
      </w:r>
      <w:r>
        <w:rPr/>
        <w:t xml:space="preserve">, y que logra reunir a representantes de asociaciones profesionales de ginecología y de matronas, de asociaciones de usuarias como El Parto Es Nuestro, y de entidades y grupos que defienden los derechos en el nacimiento (Plataforma pro Derechos en el Nacimiento). Se anuncia como respuesta a determinadas demandas sociales, y pretende integrar una perspectiva de género en la atención (epígrafe 2.5.2, ejes transversales de equidad), incluyendo aspectos tales como “el empoderamiento de las mujeres, la multiculturalidad y la diversidad de capacidades”. Los acuerdos firmados con las Consejerías de Salud de las distintas Comunidades Autónomas la </w:t>
      </w:r>
      <w:r>
        <w:rPr>
          <w:b w:val="false"/>
          <w:bCs w:val="false"/>
        </w:rPr>
        <w:t>hac</w:t>
      </w:r>
      <w:r>
        <w:rPr/>
        <w:t>en efectiva.</w:t>
      </w:r>
    </w:p>
    <w:p>
      <w:pPr>
        <w:pStyle w:val="style0"/>
      </w:pPr>
      <w:r>
        <w:rPr>
          <w:b w:val="false"/>
          <w:bCs w:val="false"/>
        </w:rPr>
        <w:t>Más allá de las posibles críticas que se pueden dirigir y han sido dirigidas hacia su aplicación,</w:t>
      </w:r>
      <w:r>
        <w:rPr>
          <w:b/>
          <w:bCs/>
        </w:rPr>
        <w:t xml:space="preserve"> </w:t>
      </w:r>
      <w:r>
        <w:rPr>
          <w:b w:val="false"/>
          <w:bCs w:val="false"/>
        </w:rPr>
        <w:t>parece de cierto interés detenerse en el núcleo discursivo de los distintos documentos elaborados a partir de ésta. Se mostrará, así, cómo el uso prioritario y preponderante del discurso de la “evidencia científica” desplaza cualquier otro argumento a un plano francamente secundario. Este desplazamiento tiene efectos concretos e implicaciones de más amplio calado que se pretende analizar. En particular, insistiré en las consecuencias más directas sobre tres tipos de prácticas clínicas: aquellas para las que no existe evidencia; las que generan controversias; y las que parecen indiscutibles y obvias, por considerarse por sí mismas sinónimo de calidad de la atención. Trataré, por último, de vincular estos efectos particulares con la despolitización de unas demandas que tienen su origen en las reflexiones y en las acciones feministas de hace algunas décadas.</w:t>
      </w:r>
    </w:p>
    <w:p>
      <w:pPr>
        <w:pStyle w:val="style0"/>
      </w:pPr>
      <w:r>
        <w:rPr>
          <w:b w:val="false"/>
          <w:bCs w:val="false"/>
        </w:rPr>
      </w:r>
    </w:p>
    <w:p>
      <w:pPr>
        <w:pStyle w:val="style0"/>
      </w:pPr>
      <w:r>
        <w:rPr>
          <w:b w:val="false"/>
          <w:bCs w:val="false"/>
        </w:rPr>
      </w:r>
    </w:p>
    <w:p>
      <w:pPr>
        <w:pStyle w:val="style0"/>
      </w:pPr>
      <w:r>
        <w:rPr>
          <w:b w:val="false"/>
          <w:bCs w:val="false"/>
        </w:rPr>
      </w:r>
    </w:p>
    <w:p>
      <w:pPr>
        <w:pStyle w:val="style0"/>
      </w:pPr>
      <w:r>
        <w:rPr>
          <w:b w:val="false"/>
          <w:bCs w:val="false"/>
        </w:rPr>
      </w:r>
    </w:p>
    <w:sectPr>
      <w:type w:val="nextPage"/>
      <w:pgSz w:h="16838" w:w="11906"/>
      <w:pgMar w:bottom="1134" w:footer="0" w:gutter="0" w:header="0" w:left="1134" w:right="1134"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s>
</file>

<file path=word/styles.xml><?xml version="1.0" encoding="utf-8"?>
<w:styles xmlns:w="http://schemas.openxmlformats.org/wordprocessingml/2006/main">
  <w:style w:styleId="style0" w:type="paragraph">
    <w:name w:val="Predeterminado"/>
    <w:next w:val="style0"/>
    <w:pPr>
      <w:widowControl w:val="false"/>
      <w:tabs>
        <w:tab w:leader="none" w:pos="709" w:val="left"/>
      </w:tabs>
      <w:suppressAutoHyphens w:val="true"/>
      <w:kinsoku w:val="true"/>
      <w:overflowPunct w:val="true"/>
      <w:autoSpaceDE w:val="true"/>
    </w:pPr>
    <w:rPr>
      <w:rFonts w:ascii="Times New Roman" w:cs="Lohit Hindi" w:eastAsia="WenQuanYi Micro Hei" w:hAnsi="Times New Roman"/>
      <w:color w:val="auto"/>
      <w:sz w:val="24"/>
      <w:szCs w:val="24"/>
      <w:lang w:bidi="hi-IN" w:eastAsia="zh-CN" w:val="es-ES"/>
    </w:rPr>
  </w:style>
  <w:style w:styleId="style15" w:type="paragraph">
    <w:name w:val="Encabezado"/>
    <w:basedOn w:val="style0"/>
    <w:next w:val="style16"/>
    <w:pPr>
      <w:keepNext/>
      <w:spacing w:after="120" w:before="240"/>
    </w:pPr>
    <w:rPr>
      <w:rFonts w:ascii="Arial" w:cs="Lohit Hindi" w:eastAsia="WenQuanYi Micro Hei" w:hAnsi="Arial"/>
      <w:sz w:val="28"/>
      <w:szCs w:val="28"/>
    </w:rPr>
  </w:style>
  <w:style w:styleId="style16" w:type="paragraph">
    <w:name w:val="Cuerpo de texto"/>
    <w:basedOn w:val="style0"/>
    <w:next w:val="style16"/>
    <w:pPr>
      <w:spacing w:after="120" w:before="0"/>
    </w:pPr>
    <w:rPr/>
  </w:style>
  <w:style w:styleId="style17" w:type="paragraph">
    <w:name w:val="Lista"/>
    <w:basedOn w:val="style16"/>
    <w:next w:val="style17"/>
    <w:pPr/>
    <w:rPr>
      <w:rFonts w:cs="Lohit Hindi"/>
    </w:rPr>
  </w:style>
  <w:style w:styleId="style18" w:type="paragraph">
    <w:name w:val="Etiqueta"/>
    <w:basedOn w:val="style0"/>
    <w:next w:val="style18"/>
    <w:pPr>
      <w:suppressLineNumbers/>
      <w:spacing w:after="120" w:before="120"/>
    </w:pPr>
    <w:rPr>
      <w:rFonts w:cs="Lohit Hindi"/>
      <w:i/>
      <w:iCs/>
      <w:sz w:val="24"/>
      <w:szCs w:val="24"/>
    </w:rPr>
  </w:style>
  <w:style w:styleId="style19" w:type="paragraph">
    <w:name w:val="Índice"/>
    <w:basedOn w:val="style0"/>
    <w:next w:val="style19"/>
    <w:pPr>
      <w:suppressLineNumbers/>
    </w:pPr>
    <w:rPr>
      <w:rFonts w:cs="Lohit Hind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otalTime>2024</TotalTime>
  <Application>LibreOffice/3.5$Linux_x86 LibreOffice_project/350m1$Build-2</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2016-10-05T16:38:02.00Z</dcterms:created>
  <dc:creator>pippo </dc:creator>
  <cp:lastModifiedBy>pippo </cp:lastModifiedBy>
  <dcterms:modified xsi:type="dcterms:W3CDTF">2016-10-07T18:09:35.00Z</dcterms:modified>
  <cp:revision>5</cp:revision>
</cp:coreProperties>
</file>