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line="326.4" w:lineRule="auto"/>
        <w:contextualSpacing w:val="0"/>
        <w:jc w:val="both"/>
      </w:pPr>
      <w:r w:rsidDel="00000000" w:rsidR="00000000" w:rsidRPr="00000000">
        <w:rPr>
          <w:rFonts w:ascii="Times New Roman" w:cs="Times New Roman" w:eastAsia="Times New Roman" w:hAnsi="Times New Roman"/>
          <w:b w:val="1"/>
          <w:rtl w:val="0"/>
        </w:rPr>
        <w:t xml:space="preserve">¿Qué investigar para poder investigar? Una explicación materialista del interés de la antropología española por las migraciones</w:t>
      </w:r>
    </w:p>
    <w:p w:rsidR="00000000" w:rsidDel="00000000" w:rsidP="00000000" w:rsidRDefault="00000000" w:rsidRPr="00000000">
      <w:pPr>
        <w:spacing w:line="326.4" w:lineRule="auto"/>
        <w:contextualSpacing w:val="0"/>
        <w:jc w:val="both"/>
      </w:pPr>
      <w:r w:rsidDel="00000000" w:rsidR="00000000" w:rsidRPr="00000000">
        <w:rPr>
          <w:rtl w:val="0"/>
        </w:rPr>
      </w:r>
    </w:p>
    <w:p w:rsidR="00000000" w:rsidDel="00000000" w:rsidP="00000000" w:rsidRDefault="00000000" w:rsidRPr="00000000">
      <w:pPr>
        <w:spacing w:line="326.4" w:lineRule="auto"/>
        <w:contextualSpacing w:val="0"/>
        <w:jc w:val="both"/>
      </w:pPr>
      <w:r w:rsidDel="00000000" w:rsidR="00000000" w:rsidRPr="00000000">
        <w:rPr>
          <w:rFonts w:ascii="Times New Roman" w:cs="Times New Roman" w:eastAsia="Times New Roman" w:hAnsi="Times New Roman"/>
          <w:rtl w:val="0"/>
        </w:rPr>
        <w:t xml:space="preserve">Existen razones objetivas por las que las migraciones pueden ser de interés para la antropología. Lo que es más llamativo es que determinadas migraciones le resulten más interesantes que otras. El propósito de esta comunicación es seguir indagando en las razones esbozadas por García, López y Thamm (2014) por las que la antropología española ha asimilado este ámbito de estudio: la sobredeterminación sociopolítica del migrante en el Estado Español y el hecho de haber encontrado en este fenómeno nuevas y cómodas posibilidades de seguir indagando en torno a la otredad. Propongo una perspectiva complementaria que consiste en combinar ambas líneas explicativas y enfocarlas desde el punto de vista de las condiciones materiales en las que se ubica la producción científica. No se debe perder de vista que la antropología es un cuerpo de conocimientos producido por sujetos multimotivados que para desarrollar su actividad requieren de apoyo simbólico y económico de determinados agentes e instituciones. En la explicación de las reconfiguraciones de la disciplina debe tomarse en cuenta, por tanto, la relación que se establece entre determinadas preocupaciones de los poderes fácticos y, por ejemplo, los criterios por los que se elige financiar unos proyectos de investigación y no otros. Dentro de este marco, la elección del ámbito de estudio por parte de grupos de investigación e investigadores individuales implica una serie de decisiones estratégicas dirigidas a la obtención de recursos necesarios para materializar sus proyectos de investigación. El interés de la antropología española por determinado tipo de migraciones podría constituir, en este sentido, una estrategia de adaptación al medio en el que se ubica.</w:t>
      </w:r>
    </w:p>
    <w:p w:rsidR="00000000" w:rsidDel="00000000" w:rsidP="00000000" w:rsidRDefault="00000000" w:rsidRPr="00000000">
      <w:pPr>
        <w:spacing w:line="326.4" w:lineRule="auto"/>
        <w:contextualSpacing w:val="0"/>
        <w:jc w:val="both"/>
      </w:pPr>
      <w:r w:rsidDel="00000000" w:rsidR="00000000" w:rsidRPr="00000000">
        <w:rPr>
          <w:rtl w:val="0"/>
        </w:rPr>
      </w:r>
    </w:p>
    <w:p w:rsidR="00000000" w:rsidDel="00000000" w:rsidP="00000000" w:rsidRDefault="00000000" w:rsidRPr="00000000">
      <w:pPr>
        <w:spacing w:line="326.4" w:lineRule="auto"/>
        <w:contextualSpacing w:val="0"/>
        <w:jc w:val="both"/>
      </w:pPr>
      <w:r w:rsidDel="00000000" w:rsidR="00000000" w:rsidRPr="00000000">
        <w:rPr>
          <w:rFonts w:ascii="Times New Roman" w:cs="Times New Roman" w:eastAsia="Times New Roman" w:hAnsi="Times New Roman"/>
          <w:b w:val="1"/>
          <w:rtl w:val="0"/>
        </w:rPr>
        <w:t xml:space="preserve">Referencias bibliográficas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pPr>
        <w:spacing w:line="326.4" w:lineRule="auto"/>
        <w:contextualSpacing w:val="0"/>
        <w:jc w:val="both"/>
      </w:pPr>
      <w:r w:rsidDel="00000000" w:rsidR="00000000" w:rsidRPr="00000000">
        <w:rPr>
          <w:rFonts w:ascii="Times New Roman" w:cs="Times New Roman" w:eastAsia="Times New Roman" w:hAnsi="Times New Roman"/>
          <w:rtl w:val="0"/>
        </w:rPr>
        <w:t xml:space="preserve">García Castaño, F. J.; López Fernández, R.; Thamm, M. (2014). Sujetos y territorios en el estudio de las migraciones desde la antropología en España. </w:t>
      </w:r>
      <w:r w:rsidDel="00000000" w:rsidR="00000000" w:rsidRPr="00000000">
        <w:rPr>
          <w:rFonts w:ascii="Times New Roman" w:cs="Times New Roman" w:eastAsia="Times New Roman" w:hAnsi="Times New Roman"/>
          <w:i w:val="1"/>
          <w:rtl w:val="0"/>
        </w:rPr>
        <w:t xml:space="preserve">QuAderns-E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19</w:t>
      </w:r>
      <w:r w:rsidDel="00000000" w:rsidR="00000000" w:rsidRPr="00000000">
        <w:rPr>
          <w:rFonts w:ascii="Times New Roman" w:cs="Times New Roman" w:eastAsia="Times New Roman" w:hAnsi="Times New Roman"/>
          <w:rtl w:val="0"/>
        </w:rPr>
        <w:t xml:space="preserve">(2), 100–125.</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sectPr>
      <w:pgSz w:h="16834" w:w="11909"/>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