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00" w:after="10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Resumen</w:t>
      </w:r>
    </w:p>
    <w:p>
      <w:pPr>
        <w:spacing w:before="100" w:after="10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Vida familiar, estilos de crianza, relaciones paternofiliales y su impacto en las aspiraciones y los logros educativos de los hijos de inmigrantes mexicanos en Estados Unidos de América</w:t>
      </w:r>
    </w:p>
    <w:p>
      <w:pPr>
        <w:spacing w:before="0" w:after="2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Esta ponencia tiene por objetivo explorar el impacto de la vida familiar y los estilos de crianza en las aspiraciones y los logros educativos de los hijos de inmigrantes mexicanos que residen con sus familias en Estados Unidos de América. El estudio se centra en el análisis de los estilos de crianza a partir del papel que juegan las relaciones paternofiliales en la dinámica familiar y su relación con la educación formal de los hijos. Así mismo, las relaciones paternofiliales de las familias inmigrantes de origen mexicano que residen en el norte y sur de California son analizadas en detalle explorando los estilos de crianza, la cohesión familiar y la comunicación entre sus miembros, y con ello, se explora la cultura de la educación en el hogar, a partir de las prácticas educativas y las normas familiares, elementos sustanciales en la dinámica de la educación de los hijos.</w:t>
      </w:r>
    </w:p>
    <w:p>
      <w:pPr>
        <w:spacing w:before="0" w:after="200" w:line="360"/>
        <w:ind w:right="0" w:left="0" w:firstLine="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ab/>
        <w:t xml:space="preserve">El trabajo etnográfico con que cuenta este trabajo fue desarrollado durante siete meses </w:t>
      </w: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de septiembre de 2008 a marzo de 2009</w:t>
      </w: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justo durante la crisis económica, financiera e hipotecaria que azotó a los Estados Unidos de América. Tal efecto impactó la dinámica de la vida familiar y los estilos de crianza de las familias inmigrantes de origen mexicano, y a su vez tuvo efectos en las aspiraciones y los logros educativos de los hijos de inmigrantes, mismos que serán mostrados a través de un seguimiento longitudinal levantado seis años </w:t>
      </w: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después durante 2014. El trabajo muestra los logros educativos alcanzados por los jóvenes de forma comparativa en función de los distintos estilos de crianza donde han crecido los hijos.</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