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DE1" w:rsidRPr="004F0191" w:rsidRDefault="004A1DE1" w:rsidP="00B13B63">
      <w:pPr>
        <w:jc w:val="both"/>
        <w:rPr>
          <w:rFonts w:ascii="Garamond" w:hAnsi="Garamond"/>
        </w:rPr>
      </w:pPr>
    </w:p>
    <w:p w:rsidR="00B13B63" w:rsidRPr="004F0191" w:rsidRDefault="00D76D33" w:rsidP="00B13B63">
      <w:pPr>
        <w:jc w:val="both"/>
        <w:rPr>
          <w:rFonts w:ascii="Garamond" w:hAnsi="Garamond"/>
        </w:rPr>
      </w:pPr>
      <w:r w:rsidRPr="004F0191">
        <w:rPr>
          <w:rFonts w:ascii="Garamond" w:hAnsi="Garamond"/>
        </w:rPr>
        <w:t xml:space="preserve">Para algunos de los estudiosos </w:t>
      </w:r>
      <w:r w:rsidR="00936F23" w:rsidRPr="004F0191">
        <w:rPr>
          <w:rFonts w:ascii="Garamond" w:hAnsi="Garamond"/>
        </w:rPr>
        <w:t>de la fiesta d</w:t>
      </w:r>
      <w:r w:rsidR="00FC720D" w:rsidRPr="004F0191">
        <w:rPr>
          <w:rFonts w:ascii="Garamond" w:hAnsi="Garamond"/>
        </w:rPr>
        <w:t xml:space="preserve">el </w:t>
      </w:r>
      <w:r w:rsidRPr="004F0191">
        <w:rPr>
          <w:rFonts w:ascii="Garamond" w:hAnsi="Garamond"/>
        </w:rPr>
        <w:t>E</w:t>
      </w:r>
      <w:r w:rsidR="004A1DE1" w:rsidRPr="004F0191">
        <w:rPr>
          <w:rFonts w:ascii="Garamond" w:hAnsi="Garamond"/>
        </w:rPr>
        <w:t>stado español, ésta se erige como</w:t>
      </w:r>
      <w:r w:rsidR="00FC720D" w:rsidRPr="004F0191">
        <w:rPr>
          <w:rFonts w:ascii="Garamond" w:hAnsi="Garamond"/>
        </w:rPr>
        <w:t xml:space="preserve"> una  atalaya desde la que analizar algunos de los cambios sociales (</w:t>
      </w:r>
      <w:r w:rsidR="00BD6DF7" w:rsidRPr="004F0191">
        <w:rPr>
          <w:rFonts w:ascii="Garamond" w:hAnsi="Garamond"/>
        </w:rPr>
        <w:t>Ari</w:t>
      </w:r>
      <w:r w:rsidR="00FC720D" w:rsidRPr="004F0191">
        <w:rPr>
          <w:rFonts w:ascii="Garamond" w:hAnsi="Garamond"/>
        </w:rPr>
        <w:t xml:space="preserve">ño y García Pilán, </w:t>
      </w:r>
      <w:r w:rsidR="005B0DF5" w:rsidRPr="004F0191">
        <w:rPr>
          <w:rFonts w:ascii="Garamond" w:hAnsi="Garamond"/>
        </w:rPr>
        <w:t>2006)</w:t>
      </w:r>
      <w:r w:rsidR="00FC720D" w:rsidRPr="004F0191">
        <w:rPr>
          <w:rFonts w:ascii="Garamond" w:hAnsi="Garamond"/>
        </w:rPr>
        <w:t>.</w:t>
      </w:r>
      <w:r w:rsidR="00D74234" w:rsidRPr="004F0191">
        <w:rPr>
          <w:rFonts w:ascii="Garamond" w:hAnsi="Garamond"/>
        </w:rPr>
        <w:t xml:space="preserve"> </w:t>
      </w:r>
      <w:r w:rsidR="00E33AAF" w:rsidRPr="004F0191">
        <w:rPr>
          <w:rFonts w:ascii="Garamond" w:hAnsi="Garamond"/>
        </w:rPr>
        <w:t>No obstante</w:t>
      </w:r>
      <w:r w:rsidR="00FC720D" w:rsidRPr="004F0191">
        <w:rPr>
          <w:rFonts w:ascii="Garamond" w:hAnsi="Garamond"/>
        </w:rPr>
        <w:t xml:space="preserve">, </w:t>
      </w:r>
      <w:r w:rsidR="00D74234" w:rsidRPr="004F0191">
        <w:rPr>
          <w:rFonts w:ascii="Garamond" w:hAnsi="Garamond"/>
        </w:rPr>
        <w:t>Homobono (2004)</w:t>
      </w:r>
      <w:r w:rsidR="00FC720D" w:rsidRPr="004F0191">
        <w:rPr>
          <w:rFonts w:ascii="Garamond" w:hAnsi="Garamond"/>
        </w:rPr>
        <w:t xml:space="preserve"> la considera como un campo en el que se suelen reflejar los conflictos del contexto en la que está inserta.</w:t>
      </w:r>
      <w:r w:rsidR="006A4A84" w:rsidRPr="004F0191">
        <w:rPr>
          <w:rFonts w:ascii="Garamond" w:hAnsi="Garamond"/>
        </w:rPr>
        <w:t xml:space="preserve"> Por lo tanto, y entendiendo el conflicto como un antagonismo estructural (Burton, 1989), podemos </w:t>
      </w:r>
      <w:r w:rsidR="00BD6DF7" w:rsidRPr="004F0191">
        <w:rPr>
          <w:rFonts w:ascii="Garamond" w:hAnsi="Garamond"/>
        </w:rPr>
        <w:t>señala</w:t>
      </w:r>
      <w:r w:rsidR="006A4A84" w:rsidRPr="004F0191">
        <w:rPr>
          <w:rFonts w:ascii="Garamond" w:hAnsi="Garamond"/>
        </w:rPr>
        <w:t>r</w:t>
      </w:r>
      <w:r w:rsidR="00BD6DF7" w:rsidRPr="004F0191">
        <w:rPr>
          <w:rFonts w:ascii="Garamond" w:hAnsi="Garamond"/>
        </w:rPr>
        <w:t xml:space="preserve"> que </w:t>
      </w:r>
      <w:r w:rsidR="006A4A84" w:rsidRPr="004F0191">
        <w:rPr>
          <w:rFonts w:ascii="Garamond" w:hAnsi="Garamond"/>
        </w:rPr>
        <w:t xml:space="preserve">las </w:t>
      </w:r>
      <w:r w:rsidR="004A1DE1" w:rsidRPr="004F0191">
        <w:rPr>
          <w:rFonts w:ascii="Garamond" w:hAnsi="Garamond"/>
        </w:rPr>
        <w:t xml:space="preserve">fiestas </w:t>
      </w:r>
      <w:r w:rsidR="00936F23" w:rsidRPr="004F0191">
        <w:rPr>
          <w:rFonts w:ascii="Garamond" w:hAnsi="Garamond"/>
        </w:rPr>
        <w:t>también</w:t>
      </w:r>
      <w:r w:rsidR="006A4A84" w:rsidRPr="004F0191">
        <w:rPr>
          <w:rFonts w:ascii="Garamond" w:hAnsi="Garamond"/>
        </w:rPr>
        <w:t xml:space="preserve"> </w:t>
      </w:r>
      <w:r w:rsidR="00BD6DF7" w:rsidRPr="004F0191">
        <w:rPr>
          <w:rFonts w:ascii="Garamond" w:hAnsi="Garamond"/>
        </w:rPr>
        <w:t>permit</w:t>
      </w:r>
      <w:r w:rsidR="005B0DF5" w:rsidRPr="004F0191">
        <w:rPr>
          <w:rFonts w:ascii="Garamond" w:hAnsi="Garamond"/>
        </w:rPr>
        <w:t>e</w:t>
      </w:r>
      <w:r w:rsidRPr="004F0191">
        <w:rPr>
          <w:rFonts w:ascii="Garamond" w:hAnsi="Garamond"/>
        </w:rPr>
        <w:t>n</w:t>
      </w:r>
      <w:r w:rsidR="00E33AAF" w:rsidRPr="004F0191">
        <w:rPr>
          <w:rFonts w:ascii="Garamond" w:hAnsi="Garamond"/>
        </w:rPr>
        <w:t xml:space="preserve"> </w:t>
      </w:r>
      <w:r w:rsidR="00BD6DF7" w:rsidRPr="004F0191">
        <w:rPr>
          <w:rFonts w:ascii="Garamond" w:hAnsi="Garamond"/>
        </w:rPr>
        <w:t>r</w:t>
      </w:r>
      <w:r w:rsidR="00E33AAF" w:rsidRPr="004F0191">
        <w:rPr>
          <w:rFonts w:ascii="Garamond" w:hAnsi="Garamond"/>
        </w:rPr>
        <w:t>eflexionar sobre</w:t>
      </w:r>
      <w:r w:rsidR="00BD6DF7" w:rsidRPr="004F0191">
        <w:rPr>
          <w:rFonts w:ascii="Garamond" w:hAnsi="Garamond"/>
        </w:rPr>
        <w:t xml:space="preserve"> cier</w:t>
      </w:r>
      <w:r w:rsidR="005B0DF5" w:rsidRPr="004F0191">
        <w:rPr>
          <w:rFonts w:ascii="Garamond" w:hAnsi="Garamond"/>
        </w:rPr>
        <w:t xml:space="preserve">tas continuidades estructurales. </w:t>
      </w:r>
      <w:r w:rsidR="00E33AAF" w:rsidRPr="004F0191">
        <w:rPr>
          <w:rFonts w:ascii="Garamond" w:hAnsi="Garamond"/>
        </w:rPr>
        <w:t>En esta comunicación, se analiza</w:t>
      </w:r>
      <w:r w:rsidR="00403729" w:rsidRPr="004F0191">
        <w:rPr>
          <w:rFonts w:ascii="Garamond" w:hAnsi="Garamond"/>
        </w:rPr>
        <w:t xml:space="preserve"> el arco discursivo en torno a una disputa que tuvo lugar en 2014</w:t>
      </w:r>
      <w:r w:rsidR="00E33AAF" w:rsidRPr="004F0191">
        <w:rPr>
          <w:rFonts w:ascii="Garamond" w:hAnsi="Garamond"/>
        </w:rPr>
        <w:t>. Ésta se produjo</w:t>
      </w:r>
      <w:r w:rsidR="00403729" w:rsidRPr="004F0191">
        <w:rPr>
          <w:rFonts w:ascii="Garamond" w:hAnsi="Garamond"/>
        </w:rPr>
        <w:t xml:space="preserve"> en un barrio de Getafe</w:t>
      </w:r>
      <w:r w:rsidR="00E33AAF" w:rsidRPr="004F0191">
        <w:rPr>
          <w:rFonts w:ascii="Garamond" w:hAnsi="Garamond"/>
        </w:rPr>
        <w:t>, poniendo</w:t>
      </w:r>
      <w:r w:rsidR="00403729" w:rsidRPr="004F0191">
        <w:rPr>
          <w:rFonts w:ascii="Garamond" w:hAnsi="Garamond"/>
        </w:rPr>
        <w:t xml:space="preserve"> de manifiesto un conflicto latente. </w:t>
      </w:r>
      <w:r w:rsidR="00E33AAF" w:rsidRPr="004F0191">
        <w:rPr>
          <w:rFonts w:ascii="Garamond" w:hAnsi="Garamond"/>
        </w:rPr>
        <w:t>Nos encontraríamos ante la resistencia a aceptar a una comunidad c</w:t>
      </w:r>
      <w:r w:rsidR="00936F23" w:rsidRPr="004F0191">
        <w:rPr>
          <w:rFonts w:ascii="Garamond" w:hAnsi="Garamond"/>
        </w:rPr>
        <w:t>omo vecinas/os</w:t>
      </w:r>
      <w:r w:rsidR="00E33AAF" w:rsidRPr="004F0191">
        <w:rPr>
          <w:rFonts w:ascii="Garamond" w:hAnsi="Garamond"/>
        </w:rPr>
        <w:t>, así como</w:t>
      </w:r>
      <w:r w:rsidR="005B0DF5" w:rsidRPr="004F0191">
        <w:rPr>
          <w:rFonts w:ascii="Garamond" w:hAnsi="Garamond"/>
        </w:rPr>
        <w:t xml:space="preserve"> la legitimación y</w:t>
      </w:r>
      <w:r w:rsidR="009B275E" w:rsidRPr="004F0191">
        <w:rPr>
          <w:rFonts w:ascii="Garamond" w:hAnsi="Garamond"/>
        </w:rPr>
        <w:t>/o</w:t>
      </w:r>
      <w:r w:rsidR="005B0DF5" w:rsidRPr="004F0191">
        <w:rPr>
          <w:rFonts w:ascii="Garamond" w:hAnsi="Garamond"/>
        </w:rPr>
        <w:t xml:space="preserve"> fomento de las relaciones</w:t>
      </w:r>
      <w:r w:rsidR="006A4A84" w:rsidRPr="004F0191">
        <w:rPr>
          <w:rFonts w:ascii="Garamond" w:hAnsi="Garamond"/>
        </w:rPr>
        <w:t xml:space="preserve"> </w:t>
      </w:r>
      <w:r w:rsidR="009B275E" w:rsidRPr="004F0191">
        <w:rPr>
          <w:rFonts w:ascii="Garamond" w:hAnsi="Garamond"/>
        </w:rPr>
        <w:t>vecinales</w:t>
      </w:r>
      <w:r w:rsidR="00B13B63" w:rsidRPr="004F0191">
        <w:rPr>
          <w:rFonts w:ascii="Garamond" w:hAnsi="Garamond"/>
        </w:rPr>
        <w:t xml:space="preserve"> conflictivas</w:t>
      </w:r>
      <w:r w:rsidR="009B275E" w:rsidRPr="004F0191">
        <w:rPr>
          <w:rFonts w:ascii="Garamond" w:hAnsi="Garamond"/>
        </w:rPr>
        <w:t xml:space="preserve"> por parte de d</w:t>
      </w:r>
      <w:r w:rsidR="006A4A84" w:rsidRPr="004F0191">
        <w:rPr>
          <w:rFonts w:ascii="Garamond" w:hAnsi="Garamond"/>
        </w:rPr>
        <w:t>eterminados partidos políticos</w:t>
      </w:r>
      <w:r w:rsidR="009B275E" w:rsidRPr="004F0191">
        <w:rPr>
          <w:rFonts w:ascii="Garamond" w:hAnsi="Garamond"/>
        </w:rPr>
        <w:t xml:space="preserve">. </w:t>
      </w:r>
      <w:r w:rsidR="00E33AAF" w:rsidRPr="004F0191">
        <w:rPr>
          <w:rFonts w:ascii="Garamond" w:hAnsi="Garamond"/>
        </w:rPr>
        <w:t xml:space="preserve">El enclave en el que se desarrolla el estudio es un territorio de alta </w:t>
      </w:r>
      <w:r w:rsidR="00936F23" w:rsidRPr="004F0191">
        <w:rPr>
          <w:rFonts w:ascii="Garamond" w:hAnsi="Garamond"/>
        </w:rPr>
        <w:t>diversidad, ya que cuenta con un</w:t>
      </w:r>
      <w:r w:rsidR="00B13B63" w:rsidRPr="004F0191">
        <w:rPr>
          <w:rFonts w:ascii="Garamond" w:hAnsi="Garamond"/>
        </w:rPr>
        <w:t xml:space="preserve"> 32% de población extranjera.  </w:t>
      </w:r>
    </w:p>
    <w:p w:rsidR="00B13B63" w:rsidRPr="004F0191" w:rsidRDefault="00B13B63" w:rsidP="009B275E">
      <w:pPr>
        <w:jc w:val="both"/>
        <w:rPr>
          <w:rFonts w:ascii="Garamond" w:hAnsi="Garamond"/>
        </w:rPr>
      </w:pPr>
      <w:r w:rsidRPr="004F0191">
        <w:rPr>
          <w:rFonts w:ascii="Garamond" w:hAnsi="Garamond"/>
        </w:rPr>
        <w:t>En lo referido a la disputa,</w:t>
      </w:r>
      <w:r w:rsidR="00103AE1" w:rsidRPr="004F0191">
        <w:rPr>
          <w:rFonts w:ascii="Garamond" w:hAnsi="Garamond"/>
        </w:rPr>
        <w:t xml:space="preserve"> </w:t>
      </w:r>
      <w:r w:rsidRPr="004F0191">
        <w:rPr>
          <w:rFonts w:ascii="Garamond" w:hAnsi="Garamond"/>
        </w:rPr>
        <w:t>e</w:t>
      </w:r>
      <w:r w:rsidR="00CC384B" w:rsidRPr="004F0191">
        <w:rPr>
          <w:rFonts w:ascii="Garamond" w:hAnsi="Garamond"/>
        </w:rPr>
        <w:t>l</w:t>
      </w:r>
      <w:r w:rsidR="00103AE1" w:rsidRPr="004F0191">
        <w:rPr>
          <w:rFonts w:ascii="Garamond" w:hAnsi="Garamond"/>
        </w:rPr>
        <w:t xml:space="preserve"> 30 de octubre llegó </w:t>
      </w:r>
      <w:r w:rsidR="00403729" w:rsidRPr="004F0191">
        <w:rPr>
          <w:rFonts w:ascii="Garamond" w:hAnsi="Garamond"/>
        </w:rPr>
        <w:t>a la M</w:t>
      </w:r>
      <w:r w:rsidR="00CC384B" w:rsidRPr="004F0191">
        <w:rPr>
          <w:rFonts w:ascii="Garamond" w:hAnsi="Garamond"/>
        </w:rPr>
        <w:t xml:space="preserve">ezquita del </w:t>
      </w:r>
      <w:r w:rsidR="006A4A84" w:rsidRPr="004F0191">
        <w:rPr>
          <w:rFonts w:ascii="Garamond" w:hAnsi="Garamond"/>
        </w:rPr>
        <w:t xml:space="preserve"> </w:t>
      </w:r>
      <w:r w:rsidR="00CC384B" w:rsidRPr="004F0191">
        <w:rPr>
          <w:rFonts w:ascii="Garamond" w:hAnsi="Garamond"/>
        </w:rPr>
        <w:t xml:space="preserve">barrio </w:t>
      </w:r>
      <w:r w:rsidR="003B57F7" w:rsidRPr="004F0191">
        <w:rPr>
          <w:rFonts w:ascii="Garamond" w:hAnsi="Garamond"/>
        </w:rPr>
        <w:t xml:space="preserve"> </w:t>
      </w:r>
      <w:r w:rsidR="00CC384B" w:rsidRPr="004F0191">
        <w:rPr>
          <w:rFonts w:ascii="Garamond" w:hAnsi="Garamond"/>
        </w:rPr>
        <w:t>una carta</w:t>
      </w:r>
      <w:r w:rsidR="003B57F7" w:rsidRPr="004F0191">
        <w:rPr>
          <w:rFonts w:ascii="Garamond" w:hAnsi="Garamond"/>
        </w:rPr>
        <w:t xml:space="preserve"> </w:t>
      </w:r>
      <w:r w:rsidRPr="004F0191">
        <w:rPr>
          <w:rFonts w:ascii="Garamond" w:hAnsi="Garamond"/>
        </w:rPr>
        <w:t>por parte del ayuntamiento. Su contenido hacía referencia a</w:t>
      </w:r>
      <w:r w:rsidR="00CC384B" w:rsidRPr="004F0191">
        <w:rPr>
          <w:rFonts w:ascii="Garamond" w:hAnsi="Garamond"/>
        </w:rPr>
        <w:t xml:space="preserve"> la resolución de clausura cautelar y precintado</w:t>
      </w:r>
      <w:r w:rsidRPr="004F0191">
        <w:rPr>
          <w:rFonts w:ascii="Garamond" w:hAnsi="Garamond"/>
        </w:rPr>
        <w:t xml:space="preserve"> del local. La razón</w:t>
      </w:r>
      <w:r w:rsidR="00CC384B" w:rsidRPr="004F0191">
        <w:rPr>
          <w:rFonts w:ascii="Garamond" w:hAnsi="Garamond"/>
        </w:rPr>
        <w:t xml:space="preserve">: “transmisión de ruidos a colindantes superando los límites máximos” </w:t>
      </w:r>
      <w:r w:rsidR="00EB5E0C" w:rsidRPr="004F0191">
        <w:rPr>
          <w:rFonts w:ascii="Garamond" w:hAnsi="Garamond"/>
        </w:rPr>
        <w:t xml:space="preserve">durante las fiestas del Ramadán. </w:t>
      </w:r>
      <w:r w:rsidR="00936F23" w:rsidRPr="004F0191">
        <w:rPr>
          <w:rFonts w:ascii="Garamond" w:hAnsi="Garamond"/>
        </w:rPr>
        <w:t>Como causas de esta decisión fueron alegadas</w:t>
      </w:r>
      <w:r w:rsidR="00ED11FA" w:rsidRPr="004F0191">
        <w:rPr>
          <w:rFonts w:ascii="Garamond" w:hAnsi="Garamond"/>
        </w:rPr>
        <w:t xml:space="preserve"> l</w:t>
      </w:r>
      <w:r w:rsidR="00A82CDF" w:rsidRPr="004F0191">
        <w:rPr>
          <w:rFonts w:ascii="Garamond" w:hAnsi="Garamond"/>
        </w:rPr>
        <w:t>as quejas</w:t>
      </w:r>
      <w:r w:rsidR="00066CB8" w:rsidRPr="004F0191">
        <w:rPr>
          <w:rFonts w:ascii="Garamond" w:hAnsi="Garamond"/>
        </w:rPr>
        <w:t xml:space="preserve"> de</w:t>
      </w:r>
      <w:r w:rsidR="00ED11FA" w:rsidRPr="004F0191">
        <w:rPr>
          <w:rFonts w:ascii="Garamond" w:hAnsi="Garamond"/>
        </w:rPr>
        <w:t xml:space="preserve"> una vecina</w:t>
      </w:r>
      <w:r w:rsidR="00A82CDF" w:rsidRPr="004F0191">
        <w:rPr>
          <w:rFonts w:ascii="Garamond" w:hAnsi="Garamond"/>
        </w:rPr>
        <w:t xml:space="preserve">, así como </w:t>
      </w:r>
      <w:r w:rsidR="00ED11FA" w:rsidRPr="004F0191">
        <w:rPr>
          <w:rFonts w:ascii="Garamond" w:hAnsi="Garamond"/>
        </w:rPr>
        <w:t>una medición realizada por la policía. Sin embargo, no se tuvieron en cuen</w:t>
      </w:r>
      <w:r w:rsidRPr="004F0191">
        <w:rPr>
          <w:rFonts w:ascii="Garamond" w:hAnsi="Garamond"/>
        </w:rPr>
        <w:t xml:space="preserve">ta los dieciocho </w:t>
      </w:r>
      <w:r w:rsidR="00936F23" w:rsidRPr="004F0191">
        <w:rPr>
          <w:rFonts w:ascii="Garamond" w:hAnsi="Garamond"/>
        </w:rPr>
        <w:t>años</w:t>
      </w:r>
      <w:r w:rsidR="00066CB8" w:rsidRPr="004F0191">
        <w:rPr>
          <w:rFonts w:ascii="Garamond" w:hAnsi="Garamond"/>
        </w:rPr>
        <w:t xml:space="preserve"> </w:t>
      </w:r>
      <w:r w:rsidR="00ED11FA" w:rsidRPr="004F0191">
        <w:rPr>
          <w:rFonts w:ascii="Garamond" w:hAnsi="Garamond"/>
        </w:rPr>
        <w:t>que la comunidad no había ocasionado ningún problema y que, anteriormente,</w:t>
      </w:r>
      <w:r w:rsidRPr="004F0191">
        <w:rPr>
          <w:rFonts w:ascii="Garamond" w:hAnsi="Garamond"/>
        </w:rPr>
        <w:t xml:space="preserve"> había sido solicitado</w:t>
      </w:r>
      <w:r w:rsidR="00ED11FA" w:rsidRPr="004F0191">
        <w:rPr>
          <w:rFonts w:ascii="Garamond" w:hAnsi="Garamond"/>
        </w:rPr>
        <w:t xml:space="preserve"> un espacio al ayuntamiento para evitar posibles molestias.</w:t>
      </w:r>
      <w:r w:rsidR="003F2904" w:rsidRPr="004F0191">
        <w:rPr>
          <w:rFonts w:ascii="Garamond" w:hAnsi="Garamond"/>
        </w:rPr>
        <w:t xml:space="preserve"> </w:t>
      </w:r>
      <w:r w:rsidR="00066CB8" w:rsidRPr="004F0191">
        <w:rPr>
          <w:rFonts w:ascii="Garamond" w:hAnsi="Garamond"/>
        </w:rPr>
        <w:t>Estos hechos fueron conocidos por</w:t>
      </w:r>
      <w:r w:rsidR="003F2904" w:rsidRPr="004F0191">
        <w:rPr>
          <w:rFonts w:ascii="Garamond" w:hAnsi="Garamond"/>
        </w:rPr>
        <w:t xml:space="preserve"> las </w:t>
      </w:r>
      <w:r w:rsidR="00A04E78" w:rsidRPr="004F0191">
        <w:rPr>
          <w:rFonts w:ascii="Garamond" w:hAnsi="Garamond"/>
        </w:rPr>
        <w:t>asociaciones</w:t>
      </w:r>
      <w:r w:rsidR="003F2904" w:rsidRPr="004F0191">
        <w:rPr>
          <w:rFonts w:ascii="Garamond" w:hAnsi="Garamond"/>
        </w:rPr>
        <w:t xml:space="preserve"> del barr</w:t>
      </w:r>
      <w:r w:rsidR="00066CB8" w:rsidRPr="004F0191">
        <w:rPr>
          <w:rFonts w:ascii="Garamond" w:hAnsi="Garamond"/>
        </w:rPr>
        <w:t>io, y los partidos de la</w:t>
      </w:r>
      <w:r w:rsidR="00ED11FA" w:rsidRPr="004F0191">
        <w:rPr>
          <w:rFonts w:ascii="Garamond" w:hAnsi="Garamond"/>
        </w:rPr>
        <w:t xml:space="preserve"> oposición</w:t>
      </w:r>
      <w:r w:rsidR="00403729" w:rsidRPr="004F0191">
        <w:rPr>
          <w:rFonts w:ascii="Garamond" w:hAnsi="Garamond"/>
        </w:rPr>
        <w:t>. La unión y presión</w:t>
      </w:r>
      <w:r w:rsidR="004A1DE1" w:rsidRPr="004F0191">
        <w:rPr>
          <w:rFonts w:ascii="Garamond" w:hAnsi="Garamond"/>
        </w:rPr>
        <w:t xml:space="preserve"> de los actores citados</w:t>
      </w:r>
      <w:r w:rsidR="00936F23" w:rsidRPr="004F0191">
        <w:rPr>
          <w:rFonts w:ascii="Garamond" w:hAnsi="Garamond"/>
        </w:rPr>
        <w:t xml:space="preserve"> hizo al ayuntamiento retroceder</w:t>
      </w:r>
      <w:r w:rsidR="00403729" w:rsidRPr="004F0191">
        <w:rPr>
          <w:rFonts w:ascii="Garamond" w:hAnsi="Garamond"/>
        </w:rPr>
        <w:t xml:space="preserve"> en su decisión</w:t>
      </w:r>
      <w:r w:rsidR="003F2904" w:rsidRPr="004F0191">
        <w:rPr>
          <w:rFonts w:ascii="Garamond" w:hAnsi="Garamond"/>
        </w:rPr>
        <w:t xml:space="preserve">. </w:t>
      </w:r>
      <w:r w:rsidR="00CC384B" w:rsidRPr="004F0191">
        <w:rPr>
          <w:rFonts w:ascii="Garamond" w:hAnsi="Garamond"/>
        </w:rPr>
        <w:t xml:space="preserve"> </w:t>
      </w:r>
    </w:p>
    <w:p w:rsidR="0001670E" w:rsidRDefault="0001670E" w:rsidP="0001670E">
      <w:pPr>
        <w:jc w:val="both"/>
      </w:pPr>
    </w:p>
    <w:sectPr w:rsidR="0001670E" w:rsidSect="00C362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3369" w:rsidRDefault="00393369" w:rsidP="0001670E">
      <w:pPr>
        <w:spacing w:after="0" w:line="240" w:lineRule="auto"/>
      </w:pPr>
      <w:r>
        <w:separator/>
      </w:r>
    </w:p>
  </w:endnote>
  <w:endnote w:type="continuationSeparator" w:id="1">
    <w:p w:rsidR="00393369" w:rsidRDefault="00393369" w:rsidP="00016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3369" w:rsidRDefault="00393369" w:rsidP="0001670E">
      <w:pPr>
        <w:spacing w:after="0" w:line="240" w:lineRule="auto"/>
      </w:pPr>
      <w:r>
        <w:separator/>
      </w:r>
    </w:p>
  </w:footnote>
  <w:footnote w:type="continuationSeparator" w:id="1">
    <w:p w:rsidR="00393369" w:rsidRDefault="00393369" w:rsidP="000167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6DF4"/>
    <w:rsid w:val="0001670E"/>
    <w:rsid w:val="00066CB8"/>
    <w:rsid w:val="00103AE1"/>
    <w:rsid w:val="002B6EF3"/>
    <w:rsid w:val="0038005A"/>
    <w:rsid w:val="00384E99"/>
    <w:rsid w:val="00393369"/>
    <w:rsid w:val="003B57F7"/>
    <w:rsid w:val="003C32C8"/>
    <w:rsid w:val="003F2904"/>
    <w:rsid w:val="00403729"/>
    <w:rsid w:val="004A1DE1"/>
    <w:rsid w:val="004F0191"/>
    <w:rsid w:val="00585C7B"/>
    <w:rsid w:val="005B0DF5"/>
    <w:rsid w:val="005D6F2B"/>
    <w:rsid w:val="0066712F"/>
    <w:rsid w:val="006A4A84"/>
    <w:rsid w:val="00936F23"/>
    <w:rsid w:val="00956DF4"/>
    <w:rsid w:val="009B275E"/>
    <w:rsid w:val="00A04E78"/>
    <w:rsid w:val="00A82CDF"/>
    <w:rsid w:val="00B12A02"/>
    <w:rsid w:val="00B13B63"/>
    <w:rsid w:val="00BD6DF7"/>
    <w:rsid w:val="00C36232"/>
    <w:rsid w:val="00CC384B"/>
    <w:rsid w:val="00CF460B"/>
    <w:rsid w:val="00D74234"/>
    <w:rsid w:val="00D76D33"/>
    <w:rsid w:val="00E33AAF"/>
    <w:rsid w:val="00EB5E0C"/>
    <w:rsid w:val="00ED11FA"/>
    <w:rsid w:val="00F061C3"/>
    <w:rsid w:val="00F14E15"/>
    <w:rsid w:val="00FC7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232"/>
  </w:style>
  <w:style w:type="paragraph" w:styleId="Ttulo1">
    <w:name w:val="heading 1"/>
    <w:basedOn w:val="Normal"/>
    <w:next w:val="Normal"/>
    <w:link w:val="Ttulo1Car"/>
    <w:uiPriority w:val="9"/>
    <w:qFormat/>
    <w:rsid w:val="004A1D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01670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1670E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1670E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4A1D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61665-8B56-4B42-BAEC-FE82EB753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2016-10-14T11:48:00Z</dcterms:created>
  <dcterms:modified xsi:type="dcterms:W3CDTF">2016-10-14T11:52:00Z</dcterms:modified>
</cp:coreProperties>
</file>