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4E" w:rsidRPr="007F7C9F" w:rsidRDefault="00F02F4E" w:rsidP="00FF7CA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004E7">
        <w:rPr>
          <w:rFonts w:ascii="Times New Roman" w:hAnsi="Times New Roman" w:cs="Times New Roman"/>
          <w:b/>
          <w:i/>
          <w:sz w:val="24"/>
        </w:rPr>
        <w:t>Arriberos</w:t>
      </w:r>
      <w:proofErr w:type="spellEnd"/>
      <w:r w:rsidRPr="00A004E7">
        <w:rPr>
          <w:rFonts w:ascii="Times New Roman" w:hAnsi="Times New Roman" w:cs="Times New Roman"/>
          <w:b/>
          <w:i/>
          <w:sz w:val="24"/>
        </w:rPr>
        <w:t xml:space="preserve"> y abajeros</w:t>
      </w:r>
      <w:r w:rsidRPr="007F7C9F">
        <w:rPr>
          <w:rFonts w:ascii="Times New Roman" w:hAnsi="Times New Roman" w:cs="Times New Roman"/>
          <w:b/>
          <w:sz w:val="24"/>
        </w:rPr>
        <w:t>. Etnicidades</w:t>
      </w:r>
      <w:r w:rsidR="005B07D2" w:rsidRPr="007F7C9F">
        <w:rPr>
          <w:rFonts w:ascii="Times New Roman" w:hAnsi="Times New Roman" w:cs="Times New Roman"/>
          <w:b/>
          <w:sz w:val="24"/>
        </w:rPr>
        <w:t>, conservación y</w:t>
      </w:r>
      <w:r w:rsidRPr="007F7C9F">
        <w:rPr>
          <w:rFonts w:ascii="Times New Roman" w:hAnsi="Times New Roman" w:cs="Times New Roman"/>
          <w:b/>
          <w:sz w:val="24"/>
        </w:rPr>
        <w:t xml:space="preserve"> conflicto ambiental en la región Caribe (Colombia).</w:t>
      </w:r>
    </w:p>
    <w:p w:rsidR="003E100F" w:rsidRPr="003E100F" w:rsidRDefault="003E100F" w:rsidP="00FF7CAF">
      <w:pPr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3E100F">
        <w:rPr>
          <w:rFonts w:ascii="Times New Roman" w:hAnsi="Times New Roman" w:cs="Times New Roman"/>
          <w:i/>
          <w:sz w:val="24"/>
        </w:rPr>
        <w:t>Por: Diana María Rodríguez Herrera</w:t>
      </w:r>
      <w:r w:rsidR="00A604C9">
        <w:rPr>
          <w:rStyle w:val="Refdenotaalpie"/>
          <w:rFonts w:ascii="Times New Roman" w:hAnsi="Times New Roman" w:cs="Times New Roman"/>
          <w:i/>
          <w:sz w:val="24"/>
        </w:rPr>
        <w:footnoteReference w:id="1"/>
      </w:r>
    </w:p>
    <w:p w:rsidR="009549C0" w:rsidRPr="003E100F" w:rsidRDefault="002751AC" w:rsidP="00FF7CA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Las teorías actuales sobre</w:t>
      </w:r>
      <w:r w:rsidR="00F02F4E" w:rsidRPr="003E100F">
        <w:rPr>
          <w:rFonts w:ascii="Times New Roman" w:hAnsi="Times New Roman" w:cs="Times New Roman"/>
          <w:sz w:val="24"/>
        </w:rPr>
        <w:t xml:space="preserve"> bienes comunes y gobernanza ambiental insisten en la necesidad democratizar la toma de decisiones </w:t>
      </w:r>
      <w:r>
        <w:rPr>
          <w:rFonts w:ascii="Times New Roman" w:hAnsi="Times New Roman" w:cs="Times New Roman"/>
          <w:sz w:val="24"/>
        </w:rPr>
        <w:t>respecto a</w:t>
      </w:r>
      <w:r w:rsidR="00F02F4E" w:rsidRPr="003E100F">
        <w:rPr>
          <w:rFonts w:ascii="Times New Roman" w:hAnsi="Times New Roman" w:cs="Times New Roman"/>
          <w:sz w:val="24"/>
        </w:rPr>
        <w:t xml:space="preserve"> los recursos naturales, reconocer la diversidad cultural, desensamblar los sistemas centralizados, asegurar los marcos de derechos reconocidos e implementar mecanismos de reducción de inequidades. Sin embargo estas teorías </w:t>
      </w:r>
      <w:r w:rsidR="009549C0" w:rsidRPr="003E100F">
        <w:rPr>
          <w:rFonts w:ascii="Times New Roman" w:hAnsi="Times New Roman" w:cs="Times New Roman"/>
          <w:sz w:val="24"/>
        </w:rPr>
        <w:t xml:space="preserve">conllevan diferentes </w:t>
      </w:r>
      <w:r w:rsidR="00204DEA">
        <w:rPr>
          <w:rFonts w:ascii="Times New Roman" w:hAnsi="Times New Roman" w:cs="Times New Roman"/>
          <w:sz w:val="24"/>
        </w:rPr>
        <w:t>sentidos</w:t>
      </w:r>
      <w:r w:rsidR="009549C0" w:rsidRPr="003E100F">
        <w:rPr>
          <w:rFonts w:ascii="Times New Roman" w:hAnsi="Times New Roman" w:cs="Times New Roman"/>
          <w:sz w:val="24"/>
        </w:rPr>
        <w:t xml:space="preserve"> </w:t>
      </w:r>
      <w:r w:rsidR="00D52023">
        <w:rPr>
          <w:rFonts w:ascii="Times New Roman" w:hAnsi="Times New Roman" w:cs="Times New Roman"/>
          <w:sz w:val="24"/>
        </w:rPr>
        <w:t>dependiendo d</w:t>
      </w:r>
      <w:r w:rsidR="00F02F4E" w:rsidRPr="003E100F">
        <w:rPr>
          <w:rFonts w:ascii="Times New Roman" w:hAnsi="Times New Roman" w:cs="Times New Roman"/>
          <w:sz w:val="24"/>
        </w:rPr>
        <w:t>el lugar donde se sitúen. A partir la Constitución Política de 1991, Colombia ha desarrollado</w:t>
      </w:r>
      <w:r w:rsidR="007671B5" w:rsidRPr="003E100F">
        <w:rPr>
          <w:rFonts w:ascii="Times New Roman" w:hAnsi="Times New Roman" w:cs="Times New Roman"/>
          <w:sz w:val="24"/>
        </w:rPr>
        <w:t xml:space="preserve"> un </w:t>
      </w:r>
      <w:r w:rsidR="00F02F4E" w:rsidRPr="003E100F">
        <w:rPr>
          <w:rFonts w:ascii="Times New Roman" w:hAnsi="Times New Roman" w:cs="Times New Roman"/>
          <w:sz w:val="24"/>
        </w:rPr>
        <w:t xml:space="preserve">marco </w:t>
      </w:r>
      <w:r w:rsidR="007671B5" w:rsidRPr="003E100F">
        <w:rPr>
          <w:rFonts w:ascii="Times New Roman" w:hAnsi="Times New Roman" w:cs="Times New Roman"/>
          <w:sz w:val="24"/>
        </w:rPr>
        <w:t xml:space="preserve">legal para el reconocimiento de la </w:t>
      </w:r>
      <w:r w:rsidR="00F02F4E" w:rsidRPr="003E100F">
        <w:rPr>
          <w:rFonts w:ascii="Times New Roman" w:hAnsi="Times New Roman" w:cs="Times New Roman"/>
          <w:sz w:val="24"/>
        </w:rPr>
        <w:t xml:space="preserve">propiedad colectiva </w:t>
      </w:r>
      <w:r w:rsidR="007671B5" w:rsidRPr="003E100F">
        <w:rPr>
          <w:rFonts w:ascii="Times New Roman" w:hAnsi="Times New Roman" w:cs="Times New Roman"/>
          <w:sz w:val="24"/>
        </w:rPr>
        <w:t>de las denominadas “comunidades negras”,</w:t>
      </w:r>
      <w:r w:rsidR="00F02F4E" w:rsidRPr="003E100F">
        <w:rPr>
          <w:rFonts w:ascii="Times New Roman" w:hAnsi="Times New Roman" w:cs="Times New Roman"/>
          <w:sz w:val="24"/>
        </w:rPr>
        <w:t xml:space="preserve"> </w:t>
      </w:r>
      <w:r w:rsidR="009549C0" w:rsidRPr="003E100F">
        <w:rPr>
          <w:rFonts w:ascii="Times New Roman" w:hAnsi="Times New Roman" w:cs="Times New Roman"/>
          <w:sz w:val="24"/>
        </w:rPr>
        <w:t xml:space="preserve">que </w:t>
      </w:r>
      <w:r w:rsidR="005B07D2" w:rsidRPr="003E100F">
        <w:rPr>
          <w:rFonts w:ascii="Times New Roman" w:hAnsi="Times New Roman" w:cs="Times New Roman"/>
          <w:sz w:val="24"/>
        </w:rPr>
        <w:t>históricamente han habitado</w:t>
      </w:r>
      <w:r w:rsidR="00F02F4E" w:rsidRPr="003E100F">
        <w:rPr>
          <w:rFonts w:ascii="Times New Roman" w:hAnsi="Times New Roman" w:cs="Times New Roman"/>
          <w:sz w:val="24"/>
        </w:rPr>
        <w:t xml:space="preserve"> la</w:t>
      </w:r>
      <w:r w:rsidR="007671B5" w:rsidRPr="003E100F">
        <w:rPr>
          <w:rFonts w:ascii="Times New Roman" w:hAnsi="Times New Roman" w:cs="Times New Roman"/>
          <w:sz w:val="24"/>
        </w:rPr>
        <w:t>s cuencas d</w:t>
      </w:r>
      <w:r w:rsidR="00F02F4E" w:rsidRPr="003E100F">
        <w:rPr>
          <w:rFonts w:ascii="Times New Roman" w:hAnsi="Times New Roman" w:cs="Times New Roman"/>
          <w:sz w:val="24"/>
        </w:rPr>
        <w:t xml:space="preserve">el Pacífico y </w:t>
      </w:r>
      <w:r w:rsidR="007671B5" w:rsidRPr="003E100F">
        <w:rPr>
          <w:rFonts w:ascii="Times New Roman" w:hAnsi="Times New Roman" w:cs="Times New Roman"/>
          <w:sz w:val="24"/>
        </w:rPr>
        <w:t>del</w:t>
      </w:r>
      <w:r w:rsidR="00F02F4E" w:rsidRPr="003E100F">
        <w:rPr>
          <w:rFonts w:ascii="Times New Roman" w:hAnsi="Times New Roman" w:cs="Times New Roman"/>
          <w:sz w:val="24"/>
        </w:rPr>
        <w:t xml:space="preserve"> Caribe. </w:t>
      </w:r>
      <w:r w:rsidR="007671B5" w:rsidRPr="003E100F">
        <w:rPr>
          <w:rFonts w:ascii="Times New Roman" w:hAnsi="Times New Roman" w:cs="Times New Roman"/>
          <w:sz w:val="24"/>
        </w:rPr>
        <w:t>En la región Caribe</w:t>
      </w:r>
      <w:r w:rsidR="007F7C9F">
        <w:rPr>
          <w:rFonts w:ascii="Times New Roman" w:hAnsi="Times New Roman" w:cs="Times New Roman"/>
          <w:sz w:val="24"/>
        </w:rPr>
        <w:t xml:space="preserve"> el acceso a </w:t>
      </w:r>
      <w:r w:rsidR="007671B5" w:rsidRPr="003E100F">
        <w:rPr>
          <w:rFonts w:ascii="Times New Roman" w:hAnsi="Times New Roman" w:cs="Times New Roman"/>
          <w:sz w:val="24"/>
        </w:rPr>
        <w:t xml:space="preserve">este tipo de </w:t>
      </w:r>
      <w:r w:rsidR="007F7C9F">
        <w:rPr>
          <w:rFonts w:ascii="Times New Roman" w:hAnsi="Times New Roman" w:cs="Times New Roman"/>
          <w:sz w:val="24"/>
        </w:rPr>
        <w:t>derechos se ve limitado</w:t>
      </w:r>
      <w:r w:rsidR="007671B5" w:rsidRPr="003E100F">
        <w:rPr>
          <w:rFonts w:ascii="Times New Roman" w:hAnsi="Times New Roman" w:cs="Times New Roman"/>
          <w:sz w:val="24"/>
        </w:rPr>
        <w:t xml:space="preserve"> por la presión turística-inmobiliaria</w:t>
      </w:r>
      <w:r w:rsidR="009549C0" w:rsidRPr="003E100F">
        <w:rPr>
          <w:rFonts w:ascii="Times New Roman" w:hAnsi="Times New Roman" w:cs="Times New Roman"/>
          <w:sz w:val="24"/>
        </w:rPr>
        <w:t xml:space="preserve">, el clientelismo, la concentración del ingreso, </w:t>
      </w:r>
      <w:r w:rsidR="00A56F70">
        <w:rPr>
          <w:rFonts w:ascii="Times New Roman" w:hAnsi="Times New Roman" w:cs="Times New Roman"/>
          <w:sz w:val="24"/>
        </w:rPr>
        <w:t xml:space="preserve">el </w:t>
      </w:r>
      <w:proofErr w:type="spellStart"/>
      <w:r w:rsidR="00A56F70">
        <w:rPr>
          <w:rFonts w:ascii="Times New Roman" w:hAnsi="Times New Roman" w:cs="Times New Roman"/>
          <w:sz w:val="24"/>
        </w:rPr>
        <w:t>extractivismo</w:t>
      </w:r>
      <w:proofErr w:type="spellEnd"/>
      <w:r w:rsidR="00A56F70">
        <w:rPr>
          <w:rFonts w:ascii="Times New Roman" w:hAnsi="Times New Roman" w:cs="Times New Roman"/>
          <w:sz w:val="24"/>
        </w:rPr>
        <w:t xml:space="preserve">, </w:t>
      </w:r>
      <w:r w:rsidR="003E100F" w:rsidRPr="003E100F">
        <w:rPr>
          <w:rFonts w:ascii="Times New Roman" w:hAnsi="Times New Roman" w:cs="Times New Roman"/>
          <w:sz w:val="24"/>
        </w:rPr>
        <w:t xml:space="preserve">la guerra, </w:t>
      </w:r>
      <w:r w:rsidR="009549C0" w:rsidRPr="003E100F">
        <w:rPr>
          <w:rFonts w:ascii="Times New Roman" w:hAnsi="Times New Roman" w:cs="Times New Roman"/>
          <w:sz w:val="24"/>
        </w:rPr>
        <w:t xml:space="preserve">entre otros </w:t>
      </w:r>
      <w:r w:rsidR="007F7C9F">
        <w:rPr>
          <w:rFonts w:ascii="Times New Roman" w:hAnsi="Times New Roman" w:cs="Times New Roman"/>
          <w:sz w:val="24"/>
        </w:rPr>
        <w:t>factores</w:t>
      </w:r>
      <w:r w:rsidR="007C654A">
        <w:rPr>
          <w:rFonts w:ascii="Times New Roman" w:hAnsi="Times New Roman" w:cs="Times New Roman"/>
          <w:sz w:val="24"/>
        </w:rPr>
        <w:t xml:space="preserve"> correlacionados</w:t>
      </w:r>
      <w:r w:rsidR="007671B5" w:rsidRPr="003E100F">
        <w:rPr>
          <w:rFonts w:ascii="Times New Roman" w:hAnsi="Times New Roman" w:cs="Times New Roman"/>
          <w:sz w:val="24"/>
        </w:rPr>
        <w:t xml:space="preserve">. </w:t>
      </w:r>
      <w:r w:rsidR="007F7C9F">
        <w:rPr>
          <w:rFonts w:ascii="Times New Roman" w:hAnsi="Times New Roman" w:cs="Times New Roman"/>
          <w:sz w:val="24"/>
        </w:rPr>
        <w:t>Más aún,</w:t>
      </w:r>
      <w:r w:rsidR="009549C0" w:rsidRPr="003E100F">
        <w:rPr>
          <w:rFonts w:ascii="Times New Roman" w:hAnsi="Times New Roman" w:cs="Times New Roman"/>
          <w:sz w:val="24"/>
        </w:rPr>
        <w:t xml:space="preserve"> </w:t>
      </w:r>
      <w:r w:rsidR="003E100F">
        <w:rPr>
          <w:rFonts w:ascii="Times New Roman" w:hAnsi="Times New Roman" w:cs="Times New Roman"/>
          <w:sz w:val="24"/>
        </w:rPr>
        <w:t>formalizada la propiedad comunal</w:t>
      </w:r>
      <w:r w:rsidR="009549C0" w:rsidRPr="003E100F">
        <w:rPr>
          <w:rFonts w:ascii="Times New Roman" w:hAnsi="Times New Roman" w:cs="Times New Roman"/>
          <w:sz w:val="24"/>
        </w:rPr>
        <w:t xml:space="preserve">, los ciclos de formación del conflicto ambiental se </w:t>
      </w:r>
      <w:r w:rsidR="007F7C9F">
        <w:rPr>
          <w:rFonts w:ascii="Times New Roman" w:hAnsi="Times New Roman" w:cs="Times New Roman"/>
          <w:sz w:val="24"/>
        </w:rPr>
        <w:t>complejizan</w:t>
      </w:r>
      <w:r w:rsidR="00BC33BC">
        <w:rPr>
          <w:rFonts w:ascii="Times New Roman" w:hAnsi="Times New Roman" w:cs="Times New Roman"/>
          <w:sz w:val="24"/>
        </w:rPr>
        <w:t>;</w:t>
      </w:r>
      <w:r w:rsidR="008E1C23">
        <w:rPr>
          <w:rFonts w:ascii="Times New Roman" w:hAnsi="Times New Roman" w:cs="Times New Roman"/>
          <w:sz w:val="24"/>
        </w:rPr>
        <w:t xml:space="preserve"> a</w:t>
      </w:r>
      <w:r w:rsidR="007F7C9F">
        <w:rPr>
          <w:rFonts w:ascii="Times New Roman" w:hAnsi="Times New Roman" w:cs="Times New Roman"/>
          <w:sz w:val="24"/>
        </w:rPr>
        <w:t xml:space="preserve">l punto que los denominados “triunfos” de la justicia ambiental pueden </w:t>
      </w:r>
      <w:r w:rsidR="008E1C23">
        <w:rPr>
          <w:rFonts w:ascii="Times New Roman" w:hAnsi="Times New Roman" w:cs="Times New Roman"/>
          <w:sz w:val="24"/>
        </w:rPr>
        <w:t>derivar en nuevos conflictos</w:t>
      </w:r>
      <w:r w:rsidR="009549C0" w:rsidRPr="003E100F">
        <w:rPr>
          <w:rFonts w:ascii="Times New Roman" w:hAnsi="Times New Roman" w:cs="Times New Roman"/>
          <w:sz w:val="24"/>
        </w:rPr>
        <w:t>. En esta c</w:t>
      </w:r>
      <w:r w:rsidR="005B07D2" w:rsidRPr="003E100F">
        <w:rPr>
          <w:rFonts w:ascii="Times New Roman" w:hAnsi="Times New Roman" w:cs="Times New Roman"/>
          <w:sz w:val="24"/>
        </w:rPr>
        <w:t>omunicación reflexionamos sobre la construcción de identidades y el</w:t>
      </w:r>
      <w:r w:rsidR="009549C0" w:rsidRPr="003E100F">
        <w:rPr>
          <w:rFonts w:ascii="Times New Roman" w:hAnsi="Times New Roman" w:cs="Times New Roman"/>
          <w:sz w:val="24"/>
        </w:rPr>
        <w:t xml:space="preserve"> conflicto ambiental en el territorio de La Boquilla</w:t>
      </w:r>
      <w:r w:rsidR="005B07D2" w:rsidRPr="003E100F">
        <w:rPr>
          <w:rFonts w:ascii="Times New Roman" w:hAnsi="Times New Roman" w:cs="Times New Roman"/>
          <w:sz w:val="24"/>
        </w:rPr>
        <w:t xml:space="preserve"> (Cartagena</w:t>
      </w:r>
      <w:r w:rsidR="007F7C9F">
        <w:rPr>
          <w:rFonts w:ascii="Times New Roman" w:hAnsi="Times New Roman" w:cs="Times New Roman"/>
          <w:sz w:val="24"/>
        </w:rPr>
        <w:t xml:space="preserve"> de Indias</w:t>
      </w:r>
      <w:r w:rsidR="005B07D2" w:rsidRPr="003E100F">
        <w:rPr>
          <w:rFonts w:ascii="Times New Roman" w:hAnsi="Times New Roman" w:cs="Times New Roman"/>
          <w:sz w:val="24"/>
        </w:rPr>
        <w:t>)</w:t>
      </w:r>
      <w:r w:rsidR="008E1C23">
        <w:rPr>
          <w:rFonts w:ascii="Times New Roman" w:hAnsi="Times New Roman" w:cs="Times New Roman"/>
          <w:sz w:val="24"/>
        </w:rPr>
        <w:t xml:space="preserve">. </w:t>
      </w:r>
      <w:r w:rsidR="00D11A88">
        <w:rPr>
          <w:rFonts w:ascii="Times New Roman" w:hAnsi="Times New Roman" w:cs="Times New Roman"/>
          <w:sz w:val="24"/>
        </w:rPr>
        <w:t>Después de una larga lucha social</w:t>
      </w:r>
      <w:r w:rsidR="008E1C23">
        <w:rPr>
          <w:rFonts w:ascii="Times New Roman" w:hAnsi="Times New Roman" w:cs="Times New Roman"/>
          <w:sz w:val="24"/>
        </w:rPr>
        <w:t>, los habitantes de La Boquilla</w:t>
      </w:r>
      <w:r w:rsidR="009549C0" w:rsidRPr="003E100F">
        <w:rPr>
          <w:rFonts w:ascii="Times New Roman" w:hAnsi="Times New Roman" w:cs="Times New Roman"/>
          <w:sz w:val="24"/>
        </w:rPr>
        <w:t xml:space="preserve"> recibieron la titulación de la tierra en el año 2012, de manos del propio presidente de los Estados Unidos, Barack Obama. </w:t>
      </w:r>
      <w:r w:rsidR="00643B2D">
        <w:rPr>
          <w:rFonts w:ascii="Times New Roman" w:hAnsi="Times New Roman" w:cs="Times New Roman"/>
          <w:sz w:val="24"/>
        </w:rPr>
        <w:t>Cinco</w:t>
      </w:r>
      <w:r w:rsidR="00BC33BC">
        <w:rPr>
          <w:rFonts w:ascii="Times New Roman" w:hAnsi="Times New Roman" w:cs="Times New Roman"/>
          <w:sz w:val="24"/>
        </w:rPr>
        <w:t xml:space="preserve"> años después, a</w:t>
      </w:r>
      <w:r w:rsidR="008E1C23">
        <w:rPr>
          <w:rFonts w:ascii="Times New Roman" w:hAnsi="Times New Roman" w:cs="Times New Roman"/>
          <w:sz w:val="24"/>
        </w:rPr>
        <w:t xml:space="preserve"> partir de</w:t>
      </w:r>
      <w:r w:rsidR="00BC33BC">
        <w:rPr>
          <w:rFonts w:ascii="Times New Roman" w:hAnsi="Times New Roman" w:cs="Times New Roman"/>
          <w:sz w:val="24"/>
        </w:rPr>
        <w:t xml:space="preserve"> un trabajo etnográfico de tipo exploratorio</w:t>
      </w:r>
      <w:r w:rsidR="008E1C23">
        <w:rPr>
          <w:rFonts w:ascii="Times New Roman" w:hAnsi="Times New Roman" w:cs="Times New Roman"/>
          <w:sz w:val="24"/>
        </w:rPr>
        <w:t xml:space="preserve">, </w:t>
      </w:r>
      <w:r w:rsidR="00BC33BC">
        <w:rPr>
          <w:rFonts w:ascii="Times New Roman" w:hAnsi="Times New Roman" w:cs="Times New Roman"/>
          <w:sz w:val="24"/>
        </w:rPr>
        <w:t>aproxima</w:t>
      </w:r>
      <w:r w:rsidR="0030068F">
        <w:rPr>
          <w:rFonts w:ascii="Times New Roman" w:hAnsi="Times New Roman" w:cs="Times New Roman"/>
          <w:sz w:val="24"/>
        </w:rPr>
        <w:t>mos</w:t>
      </w:r>
      <w:r w:rsidR="008E1C23">
        <w:rPr>
          <w:rFonts w:ascii="Times New Roman" w:hAnsi="Times New Roman" w:cs="Times New Roman"/>
          <w:sz w:val="24"/>
        </w:rPr>
        <w:t xml:space="preserve"> la dinámica de algunos de los conflictos ambientales que</w:t>
      </w:r>
      <w:r w:rsidR="00016D82">
        <w:rPr>
          <w:rFonts w:ascii="Times New Roman" w:hAnsi="Times New Roman" w:cs="Times New Roman"/>
          <w:sz w:val="24"/>
        </w:rPr>
        <w:t xml:space="preserve"> allí</w:t>
      </w:r>
      <w:r w:rsidR="008E1C23">
        <w:rPr>
          <w:rFonts w:ascii="Times New Roman" w:hAnsi="Times New Roman" w:cs="Times New Roman"/>
          <w:sz w:val="24"/>
        </w:rPr>
        <w:t xml:space="preserve"> continúan vigente</w:t>
      </w:r>
      <w:bookmarkStart w:id="0" w:name="_GoBack"/>
      <w:bookmarkEnd w:id="0"/>
      <w:r w:rsidR="008E1C23">
        <w:rPr>
          <w:rFonts w:ascii="Times New Roman" w:hAnsi="Times New Roman" w:cs="Times New Roman"/>
          <w:sz w:val="24"/>
        </w:rPr>
        <w:t>s.</w:t>
      </w:r>
    </w:p>
    <w:p w:rsidR="009549C0" w:rsidRPr="003E100F" w:rsidRDefault="009549C0" w:rsidP="003E100F">
      <w:pPr>
        <w:jc w:val="both"/>
        <w:rPr>
          <w:rFonts w:ascii="Times New Roman" w:hAnsi="Times New Roman" w:cs="Times New Roman"/>
          <w:sz w:val="24"/>
        </w:rPr>
      </w:pPr>
    </w:p>
    <w:sectPr w:rsidR="009549C0" w:rsidRPr="003E10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1D0" w:rsidRDefault="00F031D0" w:rsidP="003E100F">
      <w:pPr>
        <w:spacing w:after="0" w:line="240" w:lineRule="auto"/>
      </w:pPr>
      <w:r>
        <w:separator/>
      </w:r>
    </w:p>
  </w:endnote>
  <w:endnote w:type="continuationSeparator" w:id="0">
    <w:p w:rsidR="00F031D0" w:rsidRDefault="00F031D0" w:rsidP="003E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1D0" w:rsidRDefault="00F031D0" w:rsidP="003E100F">
      <w:pPr>
        <w:spacing w:after="0" w:line="240" w:lineRule="auto"/>
      </w:pPr>
      <w:r>
        <w:separator/>
      </w:r>
    </w:p>
  </w:footnote>
  <w:footnote w:type="continuationSeparator" w:id="0">
    <w:p w:rsidR="00F031D0" w:rsidRDefault="00F031D0" w:rsidP="003E100F">
      <w:pPr>
        <w:spacing w:after="0" w:line="240" w:lineRule="auto"/>
      </w:pPr>
      <w:r>
        <w:continuationSeparator/>
      </w:r>
    </w:p>
  </w:footnote>
  <w:footnote w:id="1">
    <w:p w:rsidR="00A604C9" w:rsidRPr="00A604C9" w:rsidRDefault="00A604C9">
      <w:pPr>
        <w:pStyle w:val="Textonotapie"/>
        <w:rPr>
          <w:rFonts w:ascii="Times New Roman" w:hAnsi="Times New Roman" w:cs="Times New Roman"/>
        </w:rPr>
      </w:pPr>
      <w:r w:rsidRPr="00A604C9">
        <w:rPr>
          <w:rStyle w:val="Refdenotaalpie"/>
          <w:rFonts w:ascii="Times New Roman" w:hAnsi="Times New Roman" w:cs="Times New Roman"/>
        </w:rPr>
        <w:footnoteRef/>
      </w:r>
      <w:r w:rsidRPr="00A604C9">
        <w:rPr>
          <w:rFonts w:ascii="Times New Roman" w:hAnsi="Times New Roman" w:cs="Times New Roman"/>
        </w:rPr>
        <w:t xml:space="preserve"> Universidad Tecnológica de Pereira (Colombia). Email: </w:t>
      </w:r>
      <w:hyperlink r:id="rId1" w:history="1">
        <w:r w:rsidRPr="00A907F3">
          <w:rPr>
            <w:rStyle w:val="Hipervnculo"/>
            <w:rFonts w:ascii="Times New Roman" w:hAnsi="Times New Roman" w:cs="Times New Roman"/>
          </w:rPr>
          <w:t>dianarodriguez@utp.edu.co</w:t>
        </w:r>
      </w:hyperlink>
      <w:r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4E"/>
    <w:rsid w:val="00016D82"/>
    <w:rsid w:val="00204DEA"/>
    <w:rsid w:val="002751AC"/>
    <w:rsid w:val="0030068F"/>
    <w:rsid w:val="003C07B4"/>
    <w:rsid w:val="003E100F"/>
    <w:rsid w:val="00534661"/>
    <w:rsid w:val="005B07D2"/>
    <w:rsid w:val="005E46C7"/>
    <w:rsid w:val="00643B2D"/>
    <w:rsid w:val="00705A67"/>
    <w:rsid w:val="007671B5"/>
    <w:rsid w:val="007C654A"/>
    <w:rsid w:val="007C7D1D"/>
    <w:rsid w:val="007F7C9F"/>
    <w:rsid w:val="008E1C23"/>
    <w:rsid w:val="008F1187"/>
    <w:rsid w:val="008F4FDD"/>
    <w:rsid w:val="009223CB"/>
    <w:rsid w:val="00952900"/>
    <w:rsid w:val="009549C0"/>
    <w:rsid w:val="00A004E7"/>
    <w:rsid w:val="00A56F70"/>
    <w:rsid w:val="00A604C9"/>
    <w:rsid w:val="00BC33BC"/>
    <w:rsid w:val="00C2007C"/>
    <w:rsid w:val="00C60A70"/>
    <w:rsid w:val="00D11A88"/>
    <w:rsid w:val="00D52023"/>
    <w:rsid w:val="00EA40F6"/>
    <w:rsid w:val="00F02F4E"/>
    <w:rsid w:val="00F031D0"/>
    <w:rsid w:val="00F75A29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C3ED34-6257-4457-AA7C-BC43B54D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3E100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10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E100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60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ianarodriguez@utp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056D-BF71-4673-9D42-CC4FE454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16</cp:revision>
  <dcterms:created xsi:type="dcterms:W3CDTF">2016-10-14T23:34:00Z</dcterms:created>
  <dcterms:modified xsi:type="dcterms:W3CDTF">2016-10-15T03:16:00Z</dcterms:modified>
</cp:coreProperties>
</file>