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2B39" w:rsidRPr="00C25536" w:rsidRDefault="00C25536" w:rsidP="00A96C0A">
      <w:pPr>
        <w:jc w:val="both"/>
        <w:rPr>
          <w:rFonts w:ascii="Times New Roman" w:hAnsi="Times New Roman" w:cs="Times New Roman"/>
          <w:b/>
          <w:sz w:val="24"/>
          <w:szCs w:val="24"/>
        </w:rPr>
      </w:pPr>
      <w:r w:rsidRPr="00C25536">
        <w:rPr>
          <w:rFonts w:ascii="Times New Roman" w:hAnsi="Times New Roman" w:cs="Times New Roman"/>
          <w:b/>
          <w:sz w:val="24"/>
          <w:szCs w:val="24"/>
        </w:rPr>
        <w:t xml:space="preserve">Entre la exclusión y la inserción desfavorable. </w:t>
      </w:r>
      <w:r w:rsidRPr="00C25536">
        <w:rPr>
          <w:rFonts w:ascii="Times New Roman" w:hAnsi="Times New Roman" w:cs="Times New Roman"/>
          <w:b/>
          <w:sz w:val="24"/>
          <w:szCs w:val="24"/>
        </w:rPr>
        <w:t xml:space="preserve">Historias de vida de personas con discapacidad sensorial en Tlaxcala. </w:t>
      </w:r>
    </w:p>
    <w:p w:rsidR="00C25536" w:rsidRDefault="00C25536" w:rsidP="00A96C0A">
      <w:pPr>
        <w:jc w:val="both"/>
        <w:rPr>
          <w:rFonts w:ascii="Times New Roman" w:hAnsi="Times New Roman" w:cs="Times New Roman"/>
          <w:sz w:val="24"/>
          <w:szCs w:val="24"/>
        </w:rPr>
      </w:pPr>
      <w:r w:rsidRPr="00C25536">
        <w:rPr>
          <w:rFonts w:ascii="Times New Roman" w:hAnsi="Times New Roman" w:cs="Times New Roman"/>
          <w:sz w:val="24"/>
          <w:szCs w:val="24"/>
        </w:rPr>
        <w:t>Nancy Arroyo Jordán, Karen Sandoval Hernández, Mónica Patricia Toledo González</w:t>
      </w:r>
      <w:r w:rsidR="00800AA8">
        <w:rPr>
          <w:rFonts w:ascii="Times New Roman" w:hAnsi="Times New Roman" w:cs="Times New Roman"/>
          <w:sz w:val="24"/>
          <w:szCs w:val="24"/>
        </w:rPr>
        <w:t>, Lorena Alonso Rodríguez</w:t>
      </w:r>
      <w:bookmarkStart w:id="0" w:name="_GoBack"/>
      <w:bookmarkEnd w:id="0"/>
    </w:p>
    <w:p w:rsidR="00A96C0A" w:rsidRDefault="00C25536" w:rsidP="00A96C0A">
      <w:pPr>
        <w:jc w:val="both"/>
        <w:rPr>
          <w:rFonts w:ascii="Times New Roman" w:hAnsi="Times New Roman" w:cs="Times New Roman"/>
          <w:sz w:val="24"/>
          <w:szCs w:val="24"/>
        </w:rPr>
      </w:pPr>
      <w:r w:rsidRPr="00C25536">
        <w:rPr>
          <w:rFonts w:ascii="Times New Roman" w:hAnsi="Times New Roman" w:cs="Times New Roman"/>
          <w:sz w:val="24"/>
          <w:szCs w:val="24"/>
        </w:rPr>
        <w:t xml:space="preserve">En esta participación se analizan historias de vida de personas con discapacidad sensorial, </w:t>
      </w:r>
      <w:r>
        <w:rPr>
          <w:rFonts w:ascii="Times New Roman" w:hAnsi="Times New Roman" w:cs="Times New Roman"/>
          <w:sz w:val="24"/>
          <w:szCs w:val="24"/>
        </w:rPr>
        <w:t xml:space="preserve">a saber, visual y auditiva, </w:t>
      </w:r>
      <w:r w:rsidRPr="00C25536">
        <w:rPr>
          <w:rFonts w:ascii="Times New Roman" w:hAnsi="Times New Roman" w:cs="Times New Roman"/>
          <w:sz w:val="24"/>
          <w:szCs w:val="24"/>
        </w:rPr>
        <w:t>en el estado de Tlaxcala –</w:t>
      </w:r>
      <w:r w:rsidR="00A96C0A">
        <w:rPr>
          <w:rFonts w:ascii="Times New Roman" w:hAnsi="Times New Roman" w:cs="Times New Roman"/>
          <w:sz w:val="24"/>
          <w:szCs w:val="24"/>
        </w:rPr>
        <w:t>ubicado</w:t>
      </w:r>
      <w:r w:rsidRPr="00C25536">
        <w:rPr>
          <w:rFonts w:ascii="Times New Roman" w:hAnsi="Times New Roman" w:cs="Times New Roman"/>
          <w:sz w:val="24"/>
          <w:szCs w:val="24"/>
        </w:rPr>
        <w:t xml:space="preserve"> en el A</w:t>
      </w:r>
      <w:r w:rsidR="00A96C0A">
        <w:rPr>
          <w:rFonts w:ascii="Times New Roman" w:hAnsi="Times New Roman" w:cs="Times New Roman"/>
          <w:sz w:val="24"/>
          <w:szCs w:val="24"/>
        </w:rPr>
        <w:t>ltiplano Central Mexicano</w:t>
      </w:r>
      <w:r w:rsidR="00812BC7">
        <w:rPr>
          <w:rFonts w:ascii="Times New Roman" w:hAnsi="Times New Roman" w:cs="Times New Roman"/>
          <w:sz w:val="24"/>
          <w:szCs w:val="24"/>
        </w:rPr>
        <w:t xml:space="preserve">. </w:t>
      </w:r>
      <w:r w:rsidRPr="00C25536">
        <w:rPr>
          <w:rFonts w:ascii="Times New Roman" w:hAnsi="Times New Roman" w:cs="Times New Roman"/>
          <w:sz w:val="24"/>
          <w:szCs w:val="24"/>
        </w:rPr>
        <w:t>A través del método etnográfico, con entrevistas a profundidad y observación participante</w:t>
      </w:r>
      <w:r w:rsidR="00812BC7">
        <w:rPr>
          <w:rFonts w:ascii="Times New Roman" w:hAnsi="Times New Roman" w:cs="Times New Roman"/>
          <w:sz w:val="24"/>
          <w:szCs w:val="24"/>
        </w:rPr>
        <w:t>,</w:t>
      </w:r>
      <w:r w:rsidR="00A96C0A">
        <w:rPr>
          <w:rFonts w:ascii="Times New Roman" w:hAnsi="Times New Roman" w:cs="Times New Roman"/>
          <w:sz w:val="24"/>
          <w:szCs w:val="24"/>
        </w:rPr>
        <w:t xml:space="preserve"> </w:t>
      </w:r>
      <w:r w:rsidRPr="00C25536">
        <w:rPr>
          <w:rFonts w:ascii="Times New Roman" w:hAnsi="Times New Roman" w:cs="Times New Roman"/>
          <w:sz w:val="24"/>
          <w:szCs w:val="24"/>
        </w:rPr>
        <w:t xml:space="preserve">se examinan las condiciones económicas, sociales, culturales e individuales que permiten </w:t>
      </w:r>
      <w:r>
        <w:rPr>
          <w:rFonts w:ascii="Times New Roman" w:hAnsi="Times New Roman" w:cs="Times New Roman"/>
          <w:sz w:val="24"/>
          <w:szCs w:val="24"/>
        </w:rPr>
        <w:t>la inclusión</w:t>
      </w:r>
      <w:r w:rsidRPr="00C25536">
        <w:rPr>
          <w:rFonts w:ascii="Times New Roman" w:hAnsi="Times New Roman" w:cs="Times New Roman"/>
          <w:sz w:val="24"/>
          <w:szCs w:val="24"/>
        </w:rPr>
        <w:t xml:space="preserve"> o bien</w:t>
      </w:r>
      <w:r w:rsidR="00800AA8">
        <w:rPr>
          <w:rFonts w:ascii="Times New Roman" w:hAnsi="Times New Roman" w:cs="Times New Roman"/>
          <w:sz w:val="24"/>
          <w:szCs w:val="24"/>
        </w:rPr>
        <w:t>,</w:t>
      </w:r>
      <w:r w:rsidRPr="00C25536">
        <w:rPr>
          <w:rFonts w:ascii="Times New Roman" w:hAnsi="Times New Roman" w:cs="Times New Roman"/>
          <w:sz w:val="24"/>
          <w:szCs w:val="24"/>
        </w:rPr>
        <w:t xml:space="preserve"> conducen</w:t>
      </w:r>
      <w:r w:rsidRPr="00C25536">
        <w:rPr>
          <w:rFonts w:ascii="Times New Roman" w:hAnsi="Times New Roman" w:cs="Times New Roman"/>
          <w:sz w:val="24"/>
          <w:szCs w:val="24"/>
        </w:rPr>
        <w:t xml:space="preserve"> a la exclusión social</w:t>
      </w:r>
      <w:r>
        <w:rPr>
          <w:rFonts w:ascii="Times New Roman" w:hAnsi="Times New Roman" w:cs="Times New Roman"/>
          <w:sz w:val="24"/>
          <w:szCs w:val="24"/>
        </w:rPr>
        <w:t xml:space="preserve"> en personas con discapacidad</w:t>
      </w:r>
      <w:r w:rsidR="00800AA8">
        <w:rPr>
          <w:rFonts w:ascii="Times New Roman" w:hAnsi="Times New Roman" w:cs="Times New Roman"/>
          <w:sz w:val="24"/>
          <w:szCs w:val="24"/>
        </w:rPr>
        <w:t xml:space="preserve"> sensorial</w:t>
      </w:r>
      <w:r w:rsidR="00A96C0A">
        <w:rPr>
          <w:rFonts w:ascii="Times New Roman" w:hAnsi="Times New Roman" w:cs="Times New Roman"/>
          <w:sz w:val="24"/>
          <w:szCs w:val="24"/>
        </w:rPr>
        <w:t xml:space="preserve"> </w:t>
      </w:r>
      <w:r w:rsidR="00A96C0A">
        <w:rPr>
          <w:rFonts w:ascii="Times New Roman" w:hAnsi="Times New Roman" w:cs="Times New Roman"/>
          <w:sz w:val="24"/>
          <w:szCs w:val="24"/>
        </w:rPr>
        <w:t xml:space="preserve">adquirida </w:t>
      </w:r>
      <w:r w:rsidR="00A96C0A">
        <w:rPr>
          <w:rFonts w:ascii="Times New Roman" w:hAnsi="Times New Roman" w:cs="Times New Roman"/>
          <w:sz w:val="24"/>
          <w:szCs w:val="24"/>
        </w:rPr>
        <w:t xml:space="preserve">y/o </w:t>
      </w:r>
      <w:r w:rsidR="00A96C0A">
        <w:rPr>
          <w:rFonts w:ascii="Times New Roman" w:hAnsi="Times New Roman" w:cs="Times New Roman"/>
          <w:sz w:val="24"/>
          <w:szCs w:val="24"/>
        </w:rPr>
        <w:t xml:space="preserve">congénita. </w:t>
      </w:r>
    </w:p>
    <w:p w:rsidR="00C25536" w:rsidRPr="00C25536" w:rsidRDefault="00A96C0A" w:rsidP="00A96C0A">
      <w:pPr>
        <w:jc w:val="both"/>
        <w:rPr>
          <w:rFonts w:ascii="Times New Roman" w:hAnsi="Times New Roman" w:cs="Times New Roman"/>
          <w:sz w:val="24"/>
          <w:szCs w:val="24"/>
        </w:rPr>
      </w:pPr>
      <w:r>
        <w:rPr>
          <w:rFonts w:ascii="Times New Roman" w:hAnsi="Times New Roman" w:cs="Times New Roman"/>
          <w:sz w:val="24"/>
          <w:szCs w:val="24"/>
        </w:rPr>
        <w:t>R</w:t>
      </w:r>
      <w:r w:rsidR="00800AA8">
        <w:rPr>
          <w:rFonts w:ascii="Times New Roman" w:hAnsi="Times New Roman" w:cs="Times New Roman"/>
          <w:sz w:val="24"/>
          <w:szCs w:val="24"/>
        </w:rPr>
        <w:t>ealizamos</w:t>
      </w:r>
      <w:r w:rsidR="00C25536" w:rsidRPr="00C25536">
        <w:rPr>
          <w:rFonts w:ascii="Times New Roman" w:hAnsi="Times New Roman" w:cs="Times New Roman"/>
          <w:sz w:val="24"/>
          <w:szCs w:val="24"/>
        </w:rPr>
        <w:t xml:space="preserve"> un análisis desde el pa</w:t>
      </w:r>
      <w:r>
        <w:rPr>
          <w:rFonts w:ascii="Times New Roman" w:hAnsi="Times New Roman" w:cs="Times New Roman"/>
          <w:sz w:val="24"/>
          <w:szCs w:val="24"/>
        </w:rPr>
        <w:t>radigma de la exclusión social:</w:t>
      </w:r>
      <w:r w:rsidR="00C25536" w:rsidRPr="00C25536">
        <w:rPr>
          <w:rFonts w:ascii="Times New Roman" w:hAnsi="Times New Roman" w:cs="Times New Roman"/>
          <w:sz w:val="24"/>
          <w:szCs w:val="24"/>
        </w:rPr>
        <w:t xml:space="preserve"> “La noción de exclusión se consolida en la década de los noventa como un paradigma de análisis de los acelerados procesos de fragilización social que se observan en la sociedad contemporánea” (Makowsi, 2004). </w:t>
      </w:r>
      <w:r w:rsidR="00800AA8">
        <w:rPr>
          <w:rFonts w:ascii="Times New Roman" w:hAnsi="Times New Roman" w:cs="Times New Roman"/>
          <w:sz w:val="24"/>
          <w:szCs w:val="24"/>
        </w:rPr>
        <w:t>Dicho enfoque</w:t>
      </w:r>
      <w:r w:rsidR="00C25536" w:rsidRPr="00C25536">
        <w:rPr>
          <w:rFonts w:ascii="Times New Roman" w:hAnsi="Times New Roman" w:cs="Times New Roman"/>
          <w:sz w:val="24"/>
          <w:szCs w:val="24"/>
        </w:rPr>
        <w:t xml:space="preserve"> reinterpreta</w:t>
      </w:r>
      <w:r w:rsidR="00812BC7">
        <w:rPr>
          <w:rFonts w:ascii="Times New Roman" w:hAnsi="Times New Roman" w:cs="Times New Roman"/>
          <w:sz w:val="24"/>
          <w:szCs w:val="24"/>
        </w:rPr>
        <w:t xml:space="preserve"> la noción de vulnerabilidad, para señalar</w:t>
      </w:r>
      <w:r w:rsidR="00800AA8">
        <w:rPr>
          <w:rFonts w:ascii="Times New Roman" w:hAnsi="Times New Roman" w:cs="Times New Roman"/>
          <w:sz w:val="24"/>
          <w:szCs w:val="24"/>
        </w:rPr>
        <w:t xml:space="preserve"> que</w:t>
      </w:r>
      <w:r w:rsidR="00812BC7">
        <w:rPr>
          <w:rFonts w:ascii="Times New Roman" w:hAnsi="Times New Roman" w:cs="Times New Roman"/>
          <w:sz w:val="24"/>
          <w:szCs w:val="24"/>
        </w:rPr>
        <w:t xml:space="preserve"> </w:t>
      </w:r>
      <w:r w:rsidR="00C25536" w:rsidRPr="00C25536">
        <w:rPr>
          <w:rFonts w:ascii="Times New Roman" w:hAnsi="Times New Roman" w:cs="Times New Roman"/>
          <w:sz w:val="24"/>
          <w:szCs w:val="24"/>
        </w:rPr>
        <w:t>la</w:t>
      </w:r>
      <w:r w:rsidR="00812BC7">
        <w:rPr>
          <w:rFonts w:ascii="Times New Roman" w:hAnsi="Times New Roman" w:cs="Times New Roman"/>
          <w:sz w:val="24"/>
          <w:szCs w:val="24"/>
        </w:rPr>
        <w:t>s</w:t>
      </w:r>
      <w:r w:rsidR="00C25536" w:rsidRPr="00C25536">
        <w:rPr>
          <w:rFonts w:ascii="Times New Roman" w:hAnsi="Times New Roman" w:cs="Times New Roman"/>
          <w:sz w:val="24"/>
          <w:szCs w:val="24"/>
        </w:rPr>
        <w:t xml:space="preserve"> desventaja</w:t>
      </w:r>
      <w:r w:rsidR="00812BC7">
        <w:rPr>
          <w:rFonts w:ascii="Times New Roman" w:hAnsi="Times New Roman" w:cs="Times New Roman"/>
          <w:sz w:val="24"/>
          <w:szCs w:val="24"/>
        </w:rPr>
        <w:t>s</w:t>
      </w:r>
      <w:r w:rsidR="00C25536" w:rsidRPr="00C25536">
        <w:rPr>
          <w:rFonts w:ascii="Times New Roman" w:hAnsi="Times New Roman" w:cs="Times New Roman"/>
          <w:sz w:val="24"/>
          <w:szCs w:val="24"/>
        </w:rPr>
        <w:t xml:space="preserve"> </w:t>
      </w:r>
      <w:r w:rsidR="00800AA8">
        <w:rPr>
          <w:rFonts w:ascii="Times New Roman" w:hAnsi="Times New Roman" w:cs="Times New Roman"/>
          <w:sz w:val="24"/>
          <w:szCs w:val="24"/>
        </w:rPr>
        <w:t xml:space="preserve">no </w:t>
      </w:r>
      <w:r w:rsidR="00C25536" w:rsidRPr="00C25536">
        <w:rPr>
          <w:rFonts w:ascii="Times New Roman" w:hAnsi="Times New Roman" w:cs="Times New Roman"/>
          <w:sz w:val="24"/>
          <w:szCs w:val="24"/>
        </w:rPr>
        <w:t>resulta</w:t>
      </w:r>
      <w:r w:rsidR="00812BC7">
        <w:rPr>
          <w:rFonts w:ascii="Times New Roman" w:hAnsi="Times New Roman" w:cs="Times New Roman"/>
          <w:sz w:val="24"/>
          <w:szCs w:val="24"/>
        </w:rPr>
        <w:t>n</w:t>
      </w:r>
      <w:r w:rsidR="00800AA8">
        <w:rPr>
          <w:rFonts w:ascii="Times New Roman" w:hAnsi="Times New Roman" w:cs="Times New Roman"/>
          <w:sz w:val="24"/>
          <w:szCs w:val="24"/>
        </w:rPr>
        <w:t xml:space="preserve"> </w:t>
      </w:r>
      <w:r w:rsidR="00C25536" w:rsidRPr="00C25536">
        <w:rPr>
          <w:rFonts w:ascii="Times New Roman" w:hAnsi="Times New Roman" w:cs="Times New Roman"/>
          <w:sz w:val="24"/>
          <w:szCs w:val="24"/>
        </w:rPr>
        <w:t>de estar fuera de estos sistemas, sino estar dentro en una posición subordinada. A esta posición inferior Sen la ha deno</w:t>
      </w:r>
      <w:r w:rsidR="00800AA8">
        <w:rPr>
          <w:rFonts w:ascii="Times New Roman" w:hAnsi="Times New Roman" w:cs="Times New Roman"/>
          <w:sz w:val="24"/>
          <w:szCs w:val="24"/>
        </w:rPr>
        <w:t>minado “inclusión desfavorable”</w:t>
      </w:r>
      <w:r>
        <w:rPr>
          <w:rFonts w:ascii="Times New Roman" w:hAnsi="Times New Roman" w:cs="Times New Roman"/>
          <w:sz w:val="24"/>
          <w:szCs w:val="24"/>
        </w:rPr>
        <w:t xml:space="preserve"> </w:t>
      </w:r>
      <w:r w:rsidR="00C25536" w:rsidRPr="00C25536">
        <w:rPr>
          <w:rFonts w:ascii="Times New Roman" w:hAnsi="Times New Roman" w:cs="Times New Roman"/>
          <w:sz w:val="24"/>
          <w:szCs w:val="24"/>
        </w:rPr>
        <w:t>(Sen, 2000</w:t>
      </w:r>
      <w:r w:rsidR="00812BC7">
        <w:rPr>
          <w:rFonts w:ascii="Times New Roman" w:hAnsi="Times New Roman" w:cs="Times New Roman"/>
          <w:sz w:val="24"/>
          <w:szCs w:val="24"/>
        </w:rPr>
        <w:t xml:space="preserve">). </w:t>
      </w:r>
      <w:r w:rsidR="00C25536" w:rsidRPr="00C25536">
        <w:rPr>
          <w:rFonts w:ascii="Times New Roman" w:hAnsi="Times New Roman" w:cs="Times New Roman"/>
          <w:sz w:val="24"/>
          <w:szCs w:val="24"/>
        </w:rPr>
        <w:t xml:space="preserve">Dicho enfoque se concentra en la emergencia y confluencia de diferentes procesos que conducen al debilitamiento de los lazos sociales que mantienen y definen la condición </w:t>
      </w:r>
      <w:r w:rsidR="00800AA8">
        <w:rPr>
          <w:rFonts w:ascii="Times New Roman" w:hAnsi="Times New Roman" w:cs="Times New Roman"/>
          <w:sz w:val="24"/>
          <w:szCs w:val="24"/>
        </w:rPr>
        <w:t>de pertenencia en una sociedad</w:t>
      </w:r>
      <w:r w:rsidR="00C25536" w:rsidRPr="00C25536">
        <w:rPr>
          <w:rFonts w:ascii="Times New Roman" w:hAnsi="Times New Roman" w:cs="Times New Roman"/>
          <w:sz w:val="24"/>
          <w:szCs w:val="24"/>
        </w:rPr>
        <w:t>. Con este paradigma se abandona la perspectiva estática de la exclusión, al observarla de manera dinámica y relacional, rebasando los enfoques que la observan como un estado o característica intrínseca de ciertos grupos sociales. Lo anterior implica un análisis sobre los procesos de exclusión atendiendo la cambiante vulnerabilidad a la exclusión de diversos sectores de la población dependiendo de las etapas del curso de vida en que se encuentren los individuos y de eventos políticos o sociales (Roberts, 200</w:t>
      </w:r>
      <w:r>
        <w:rPr>
          <w:rFonts w:ascii="Times New Roman" w:hAnsi="Times New Roman" w:cs="Times New Roman"/>
          <w:sz w:val="24"/>
          <w:szCs w:val="24"/>
        </w:rPr>
        <w:t>9</w:t>
      </w:r>
      <w:r w:rsidR="00C25536" w:rsidRPr="00C25536">
        <w:rPr>
          <w:rFonts w:ascii="Times New Roman" w:hAnsi="Times New Roman" w:cs="Times New Roman"/>
          <w:sz w:val="24"/>
          <w:szCs w:val="24"/>
        </w:rPr>
        <w:t xml:space="preserve">). Esto nos sitúa en la necesidad de examinar los procesos de acumulación desventajas sociales de </w:t>
      </w:r>
      <w:r w:rsidR="00800AA8">
        <w:rPr>
          <w:rFonts w:ascii="Times New Roman" w:hAnsi="Times New Roman" w:cs="Times New Roman"/>
          <w:sz w:val="24"/>
          <w:szCs w:val="24"/>
        </w:rPr>
        <w:t xml:space="preserve">los individuos, </w:t>
      </w:r>
      <w:r w:rsidR="00812BC7">
        <w:rPr>
          <w:rFonts w:ascii="Times New Roman" w:hAnsi="Times New Roman" w:cs="Times New Roman"/>
          <w:sz w:val="24"/>
          <w:szCs w:val="24"/>
        </w:rPr>
        <w:t xml:space="preserve">además de </w:t>
      </w:r>
      <w:r w:rsidR="00C25536" w:rsidRPr="00C25536">
        <w:rPr>
          <w:rFonts w:ascii="Times New Roman" w:hAnsi="Times New Roman" w:cs="Times New Roman"/>
          <w:sz w:val="24"/>
          <w:szCs w:val="24"/>
        </w:rPr>
        <w:t>un análisis de la estructura s</w:t>
      </w:r>
      <w:r w:rsidR="00812BC7">
        <w:rPr>
          <w:rFonts w:ascii="Times New Roman" w:hAnsi="Times New Roman" w:cs="Times New Roman"/>
          <w:sz w:val="24"/>
          <w:szCs w:val="24"/>
        </w:rPr>
        <w:t xml:space="preserve">ocial y sus procesos dinámicos. </w:t>
      </w:r>
    </w:p>
    <w:p w:rsidR="00C25536" w:rsidRPr="00C25536" w:rsidRDefault="00C25536" w:rsidP="00A96C0A">
      <w:pPr>
        <w:spacing w:line="480" w:lineRule="auto"/>
        <w:jc w:val="both"/>
        <w:rPr>
          <w:rFonts w:ascii="Times New Roman" w:hAnsi="Times New Roman" w:cs="Times New Roman"/>
          <w:sz w:val="24"/>
          <w:szCs w:val="24"/>
        </w:rPr>
      </w:pPr>
    </w:p>
    <w:sectPr w:rsidR="00C25536" w:rsidRPr="00C2553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53F2" w:rsidRDefault="000553F2" w:rsidP="00C25536">
      <w:pPr>
        <w:spacing w:after="0" w:line="240" w:lineRule="auto"/>
      </w:pPr>
      <w:r>
        <w:separator/>
      </w:r>
    </w:p>
  </w:endnote>
  <w:endnote w:type="continuationSeparator" w:id="0">
    <w:p w:rsidR="000553F2" w:rsidRDefault="000553F2" w:rsidP="00C255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53F2" w:rsidRDefault="000553F2" w:rsidP="00C25536">
      <w:pPr>
        <w:spacing w:after="0" w:line="240" w:lineRule="auto"/>
      </w:pPr>
      <w:r>
        <w:separator/>
      </w:r>
    </w:p>
  </w:footnote>
  <w:footnote w:type="continuationSeparator" w:id="0">
    <w:p w:rsidR="000553F2" w:rsidRDefault="000553F2" w:rsidP="00C2553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B39"/>
    <w:rsid w:val="000553F2"/>
    <w:rsid w:val="00475088"/>
    <w:rsid w:val="005871E0"/>
    <w:rsid w:val="00800AA8"/>
    <w:rsid w:val="00812BC7"/>
    <w:rsid w:val="008403C8"/>
    <w:rsid w:val="00A96C0A"/>
    <w:rsid w:val="00C25536"/>
    <w:rsid w:val="00EF2B3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92E1A"/>
  <w15:chartTrackingRefBased/>
  <w15:docId w15:val="{19C47246-25A8-463B-A0A3-2AF22B433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C25536"/>
    <w:pPr>
      <w:spacing w:after="0" w:line="240" w:lineRule="auto"/>
    </w:pPr>
    <w:rPr>
      <w:sz w:val="20"/>
      <w:szCs w:val="20"/>
    </w:rPr>
  </w:style>
  <w:style w:type="character" w:customStyle="1" w:styleId="TextonotapieCar">
    <w:name w:val="Texto nota pie Car"/>
    <w:basedOn w:val="Fuentedeprrafopredeter"/>
    <w:link w:val="Textonotapie"/>
    <w:uiPriority w:val="99"/>
    <w:rsid w:val="00C25536"/>
    <w:rPr>
      <w:sz w:val="20"/>
      <w:szCs w:val="20"/>
    </w:rPr>
  </w:style>
  <w:style w:type="character" w:styleId="Refdenotaalpie">
    <w:name w:val="footnote reference"/>
    <w:basedOn w:val="Fuentedeprrafopredeter"/>
    <w:uiPriority w:val="99"/>
    <w:unhideWhenUsed/>
    <w:rsid w:val="00C2553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331</Words>
  <Characters>1821</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Arroyo</dc:creator>
  <cp:keywords/>
  <dc:description/>
  <cp:lastModifiedBy>Coordinacion Familia</cp:lastModifiedBy>
  <cp:revision>2</cp:revision>
  <dcterms:created xsi:type="dcterms:W3CDTF">2016-10-14T16:01:00Z</dcterms:created>
  <dcterms:modified xsi:type="dcterms:W3CDTF">2016-10-14T16:01:00Z</dcterms:modified>
</cp:coreProperties>
</file>