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257AEF" w14:textId="77777777" w:rsidR="005F7401" w:rsidRPr="00BA4D54" w:rsidRDefault="005F7401" w:rsidP="005F7401">
      <w:pPr>
        <w:rPr>
          <w:rFonts w:ascii="Times New Roman" w:hAnsi="Times New Roman" w:cs="Times New Roman"/>
        </w:rPr>
      </w:pPr>
      <w:r w:rsidRPr="00BA4D54">
        <w:rPr>
          <w:rFonts w:ascii="Times New Roman" w:hAnsi="Times New Roman" w:cs="Times New Roman"/>
        </w:rPr>
        <w:t xml:space="preserve">Aunque en la actualidad son pocos los que se manifiestan abiertamente en contra de la necesidad de la implicación activa y directa en los procesos de </w:t>
      </w:r>
      <w:proofErr w:type="spellStart"/>
      <w:r w:rsidRPr="00BA4D54">
        <w:rPr>
          <w:rFonts w:ascii="Times New Roman" w:hAnsi="Times New Roman" w:cs="Times New Roman"/>
        </w:rPr>
        <w:t>patrimonialización</w:t>
      </w:r>
      <w:proofErr w:type="spellEnd"/>
      <w:r w:rsidRPr="00BA4D54">
        <w:rPr>
          <w:rFonts w:ascii="Times New Roman" w:hAnsi="Times New Roman" w:cs="Times New Roman"/>
        </w:rPr>
        <w:t xml:space="preserve"> de las poblaciones que forman parte o son las productoras de los espacios “naturales” o los hechos culturales </w:t>
      </w:r>
      <w:proofErr w:type="spellStart"/>
      <w:r w:rsidRPr="00BA4D54">
        <w:rPr>
          <w:rFonts w:ascii="Times New Roman" w:hAnsi="Times New Roman" w:cs="Times New Roman"/>
        </w:rPr>
        <w:t>patrimonializados</w:t>
      </w:r>
      <w:proofErr w:type="spellEnd"/>
      <w:r w:rsidRPr="00BA4D54">
        <w:rPr>
          <w:rFonts w:ascii="Times New Roman" w:hAnsi="Times New Roman" w:cs="Times New Roman"/>
        </w:rPr>
        <w:t xml:space="preserve"> , la realidad  es que lo más habitual es que dicha participación sea entendida de una manera secundaria, cuando no como un obstáculo para la mayor eficacia y efectividad de la conservación/protección de los bienes </w:t>
      </w:r>
      <w:proofErr w:type="spellStart"/>
      <w:r w:rsidRPr="00BA4D54">
        <w:rPr>
          <w:rFonts w:ascii="Times New Roman" w:hAnsi="Times New Roman" w:cs="Times New Roman"/>
        </w:rPr>
        <w:t>patrimonializados</w:t>
      </w:r>
      <w:proofErr w:type="spellEnd"/>
      <w:r w:rsidRPr="00BA4D54">
        <w:rPr>
          <w:rFonts w:ascii="Times New Roman" w:hAnsi="Times New Roman" w:cs="Times New Roman"/>
        </w:rPr>
        <w:t xml:space="preserve">. Con frecuencia encontramos casos en los que, ante procesos de </w:t>
      </w:r>
      <w:proofErr w:type="spellStart"/>
      <w:r w:rsidRPr="00BA4D54">
        <w:rPr>
          <w:rFonts w:ascii="Times New Roman" w:hAnsi="Times New Roman" w:cs="Times New Roman"/>
        </w:rPr>
        <w:t>patrimonialización</w:t>
      </w:r>
      <w:proofErr w:type="spellEnd"/>
      <w:r w:rsidRPr="00BA4D54">
        <w:rPr>
          <w:rFonts w:ascii="Times New Roman" w:hAnsi="Times New Roman" w:cs="Times New Roman"/>
        </w:rPr>
        <w:t xml:space="preserve"> </w:t>
      </w:r>
      <w:proofErr w:type="spellStart"/>
      <w:r w:rsidRPr="00BA4D54">
        <w:rPr>
          <w:rFonts w:ascii="Times New Roman" w:hAnsi="Times New Roman" w:cs="Times New Roman"/>
        </w:rPr>
        <w:t>bottom</w:t>
      </w:r>
      <w:proofErr w:type="spellEnd"/>
      <w:r w:rsidRPr="00BA4D54">
        <w:rPr>
          <w:rFonts w:ascii="Times New Roman" w:hAnsi="Times New Roman" w:cs="Times New Roman"/>
        </w:rPr>
        <w:t>-up, desde las administraciones competentes actúan de manera negativa, no solo no aprovechando la colaboración de la ciudadanía, sino incluso considerándola un atentado a sus competencias.</w:t>
      </w:r>
    </w:p>
    <w:p w14:paraId="32E9F3BF" w14:textId="77777777" w:rsidR="007A35BA" w:rsidRPr="00BA4D54" w:rsidRDefault="005F7401" w:rsidP="005F7401">
      <w:pPr>
        <w:rPr>
          <w:rFonts w:ascii="Times New Roman" w:hAnsi="Times New Roman" w:cs="Times New Roman"/>
        </w:rPr>
      </w:pPr>
      <w:r w:rsidRPr="00BA4D54">
        <w:rPr>
          <w:rFonts w:ascii="Times New Roman" w:hAnsi="Times New Roman" w:cs="Times New Roman"/>
        </w:rPr>
        <w:t xml:space="preserve">En nuestra comunicación aprovecharemos el conocimiento de tres casos, dos en Andalucía, los de la Casa Palacio Pumarejo en Sevilla, y la Huerta de </w:t>
      </w:r>
      <w:proofErr w:type="spellStart"/>
      <w:r w:rsidRPr="00BA4D54">
        <w:rPr>
          <w:rFonts w:ascii="Times New Roman" w:hAnsi="Times New Roman" w:cs="Times New Roman"/>
        </w:rPr>
        <w:t>Pegalajar</w:t>
      </w:r>
      <w:proofErr w:type="spellEnd"/>
      <w:r w:rsidRPr="00BA4D54">
        <w:rPr>
          <w:rFonts w:ascii="Times New Roman" w:hAnsi="Times New Roman" w:cs="Times New Roman"/>
        </w:rPr>
        <w:t xml:space="preserve">, en Jaén, de carácter conflictivo y caracterizados por la cerrazón de las administraciones a las iniciativas ciudadanas, y un tercero, el de la ciudad de Chillán, en Chile, en el que, por el contrario, desde la municipalidad se mantiene un espacio fructífero de colaboración con el vecindario que está dando frutos positivos. Con la comparación entre estos casos pretendemos ofrecer elementos para una reflexión de las dificultades, obstáculos, posibilidades y beneficios para una real y efectiva participación ciudadana en los procesos de </w:t>
      </w:r>
      <w:proofErr w:type="spellStart"/>
      <w:r w:rsidRPr="00BA4D54">
        <w:rPr>
          <w:rFonts w:ascii="Times New Roman" w:hAnsi="Times New Roman" w:cs="Times New Roman"/>
        </w:rPr>
        <w:t>patrimonialización</w:t>
      </w:r>
      <w:bookmarkStart w:id="0" w:name="_GoBack"/>
      <w:bookmarkEnd w:id="0"/>
      <w:proofErr w:type="spellEnd"/>
    </w:p>
    <w:sectPr w:rsidR="007A35BA" w:rsidRPr="00BA4D54" w:rsidSect="001B79B1">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401"/>
    <w:rsid w:val="001B79B1"/>
    <w:rsid w:val="005F7401"/>
    <w:rsid w:val="007A35BA"/>
    <w:rsid w:val="00BA4D5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30375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40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40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1295</Characters>
  <Application>Microsoft Macintosh Word</Application>
  <DocSecurity>0</DocSecurity>
  <Lines>20</Lines>
  <Paragraphs>2</Paragraphs>
  <ScaleCrop>false</ScaleCrop>
  <HeadingPairs>
    <vt:vector size="2" baseType="variant">
      <vt:variant>
        <vt:lpstr>Título</vt:lpstr>
      </vt:variant>
      <vt:variant>
        <vt:i4>1</vt:i4>
      </vt:variant>
    </vt:vector>
  </HeadingPairs>
  <TitlesOfParts>
    <vt:vector size="1" baseType="lpstr">
      <vt:lpstr/>
    </vt:vector>
  </TitlesOfParts>
  <Company>Universidad Pablo de Olavide</Company>
  <LinksUpToDate>false</LinksUpToDate>
  <CharactersWithSpaces>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Escalera</dc:creator>
  <cp:keywords/>
  <dc:description/>
  <cp:lastModifiedBy>Javier Escalera</cp:lastModifiedBy>
  <cp:revision>2</cp:revision>
  <dcterms:created xsi:type="dcterms:W3CDTF">2016-10-12T11:20:00Z</dcterms:created>
  <dcterms:modified xsi:type="dcterms:W3CDTF">2016-10-12T11:23:00Z</dcterms:modified>
</cp:coreProperties>
</file>